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5328B" w14:textId="77777777" w:rsidR="0009790B" w:rsidRDefault="0009790B" w:rsidP="0009790B">
      <w:pPr>
        <w:spacing w:before="100" w:beforeAutospacing="1" w:after="100" w:afterAutospacing="1" w:line="240" w:lineRule="auto"/>
        <w:jc w:val="both"/>
        <w:rPr>
          <w:rFonts w:ascii="Times New Roman" w:eastAsia="Times New Roman" w:hAnsi="Times New Roman" w:cs="Times New Roman"/>
          <w:b/>
          <w:bCs/>
          <w:kern w:val="0"/>
          <w:lang w:eastAsia="es-AR"/>
          <w14:ligatures w14:val="none"/>
        </w:rPr>
      </w:pPr>
      <w:bookmarkStart w:id="0" w:name="_Hlk192161365"/>
      <w:bookmarkEnd w:id="0"/>
    </w:p>
    <w:p w14:paraId="761176A3" w14:textId="7E8A98C8" w:rsidR="00E94F6F" w:rsidRPr="00E94F6F" w:rsidRDefault="00E94F6F" w:rsidP="00E94F6F">
      <w:pPr>
        <w:spacing w:before="100" w:beforeAutospacing="1" w:after="100" w:afterAutospacing="1" w:line="240" w:lineRule="auto"/>
        <w:jc w:val="center"/>
        <w:rPr>
          <w:rFonts w:ascii="Times New Roman" w:eastAsia="Times New Roman" w:hAnsi="Times New Roman" w:cs="Times New Roman"/>
          <w:b/>
          <w:bCs/>
          <w:color w:val="FF0000"/>
          <w:kern w:val="0"/>
          <w:sz w:val="28"/>
          <w:szCs w:val="28"/>
          <w:lang w:eastAsia="es-AR"/>
          <w14:ligatures w14:val="none"/>
        </w:rPr>
      </w:pPr>
      <w:r w:rsidRPr="00E94F6F">
        <w:rPr>
          <w:rFonts w:ascii="Times New Roman" w:eastAsia="Times New Roman" w:hAnsi="Times New Roman" w:cs="Times New Roman"/>
          <w:b/>
          <w:bCs/>
          <w:color w:val="FF0000"/>
          <w:kern w:val="0"/>
          <w:sz w:val="28"/>
          <w:szCs w:val="28"/>
          <w:lang w:eastAsia="es-AR"/>
          <w14:ligatures w14:val="none"/>
        </w:rPr>
        <w:t>INFORME EMBARGADO HASTA EL 8 DE MARZO</w:t>
      </w:r>
    </w:p>
    <w:p w14:paraId="6CDD3989" w14:textId="77777777" w:rsidR="00E94F6F" w:rsidRPr="00E94F6F" w:rsidRDefault="00E94F6F" w:rsidP="00E94F6F">
      <w:pPr>
        <w:spacing w:before="100" w:beforeAutospacing="1" w:after="100" w:afterAutospacing="1" w:line="240" w:lineRule="auto"/>
        <w:jc w:val="center"/>
        <w:rPr>
          <w:rFonts w:ascii="Times New Roman" w:eastAsia="Times New Roman" w:hAnsi="Times New Roman" w:cs="Times New Roman"/>
          <w:b/>
          <w:bCs/>
          <w:color w:val="FF0000"/>
          <w:kern w:val="0"/>
          <w:lang w:eastAsia="es-AR"/>
          <w14:ligatures w14:val="none"/>
        </w:rPr>
      </w:pPr>
    </w:p>
    <w:p w14:paraId="2BEE5B12" w14:textId="0C7FC27F" w:rsidR="008334FF" w:rsidRPr="00943699" w:rsidRDefault="008334FF" w:rsidP="0009790B">
      <w:pPr>
        <w:spacing w:before="100" w:beforeAutospacing="1" w:after="100" w:afterAutospacing="1" w:line="240" w:lineRule="auto"/>
        <w:jc w:val="both"/>
        <w:rPr>
          <w:rFonts w:ascii="Times New Roman" w:eastAsia="Times New Roman" w:hAnsi="Times New Roman" w:cs="Times New Roman"/>
          <w:kern w:val="0"/>
          <w:sz w:val="32"/>
          <w:szCs w:val="32"/>
          <w:lang w:eastAsia="es-AR"/>
          <w14:ligatures w14:val="none"/>
        </w:rPr>
      </w:pPr>
      <w:r w:rsidRPr="00943699">
        <w:rPr>
          <w:rFonts w:ascii="Times New Roman" w:eastAsia="Times New Roman" w:hAnsi="Times New Roman" w:cs="Times New Roman"/>
          <w:b/>
          <w:bCs/>
          <w:kern w:val="0"/>
          <w:sz w:val="32"/>
          <w:szCs w:val="32"/>
          <w:lang w:eastAsia="es-AR"/>
          <w14:ligatures w14:val="none"/>
        </w:rPr>
        <w:t>Las realidades vividas por las mujeres aún están rezagadas a pesar de las percepciones positivas</w:t>
      </w:r>
    </w:p>
    <w:p w14:paraId="72289023" w14:textId="77777777" w:rsidR="008334FF" w:rsidRPr="00943699" w:rsidRDefault="008334FF" w:rsidP="0009790B">
      <w:pPr>
        <w:spacing w:before="100" w:beforeAutospacing="1" w:after="100" w:afterAutospacing="1" w:line="240" w:lineRule="auto"/>
        <w:jc w:val="both"/>
        <w:rPr>
          <w:rFonts w:ascii="Times New Roman" w:eastAsia="Times New Roman" w:hAnsi="Times New Roman" w:cs="Times New Roman"/>
          <w:kern w:val="0"/>
          <w:sz w:val="28"/>
          <w:szCs w:val="28"/>
          <w:lang w:eastAsia="es-AR"/>
          <w14:ligatures w14:val="none"/>
        </w:rPr>
      </w:pPr>
      <w:r w:rsidRPr="00943699">
        <w:rPr>
          <w:rFonts w:ascii="Times New Roman" w:eastAsia="Times New Roman" w:hAnsi="Times New Roman" w:cs="Times New Roman"/>
          <w:b/>
          <w:bCs/>
          <w:kern w:val="0"/>
          <w:sz w:val="28"/>
          <w:szCs w:val="28"/>
          <w:lang w:eastAsia="es-AR"/>
          <w14:ligatures w14:val="none"/>
        </w:rPr>
        <w:t>8 de marzo de 2025</w:t>
      </w:r>
    </w:p>
    <w:p w14:paraId="192E7D50" w14:textId="26E403F6" w:rsidR="008334FF" w:rsidRPr="008334FF" w:rsidRDefault="008334FF" w:rsidP="0009790B">
      <w:pPr>
        <w:spacing w:before="100" w:beforeAutospacing="1" w:after="100" w:afterAutospacing="1" w:line="240" w:lineRule="auto"/>
        <w:jc w:val="both"/>
        <w:rPr>
          <w:rFonts w:ascii="Times New Roman" w:eastAsia="Times New Roman" w:hAnsi="Times New Roman" w:cs="Times New Roman"/>
          <w:kern w:val="0"/>
          <w:lang w:eastAsia="es-AR"/>
          <w14:ligatures w14:val="none"/>
        </w:rPr>
      </w:pPr>
      <w:r w:rsidRPr="008334FF">
        <w:rPr>
          <w:rFonts w:ascii="Times New Roman" w:eastAsia="Times New Roman" w:hAnsi="Times New Roman" w:cs="Times New Roman"/>
          <w:kern w:val="0"/>
          <w:lang w:eastAsia="es-AR"/>
          <w14:ligatures w14:val="none"/>
        </w:rPr>
        <w:t xml:space="preserve">La </w:t>
      </w:r>
      <w:proofErr w:type="spellStart"/>
      <w:r w:rsidRPr="008334FF">
        <w:rPr>
          <w:rFonts w:ascii="Times New Roman" w:eastAsia="Times New Roman" w:hAnsi="Times New Roman" w:cs="Times New Roman"/>
          <w:i/>
          <w:iCs/>
          <w:kern w:val="0"/>
          <w:lang w:eastAsia="es-AR"/>
          <w14:ligatures w14:val="none"/>
        </w:rPr>
        <w:t>Worldwide</w:t>
      </w:r>
      <w:proofErr w:type="spellEnd"/>
      <w:r w:rsidRPr="008334FF">
        <w:rPr>
          <w:rFonts w:ascii="Times New Roman" w:eastAsia="Times New Roman" w:hAnsi="Times New Roman" w:cs="Times New Roman"/>
          <w:i/>
          <w:iCs/>
          <w:kern w:val="0"/>
          <w:lang w:eastAsia="es-AR"/>
          <w14:ligatures w14:val="none"/>
        </w:rPr>
        <w:t xml:space="preserve"> </w:t>
      </w:r>
      <w:proofErr w:type="spellStart"/>
      <w:r w:rsidRPr="008334FF">
        <w:rPr>
          <w:rFonts w:ascii="Times New Roman" w:eastAsia="Times New Roman" w:hAnsi="Times New Roman" w:cs="Times New Roman"/>
          <w:i/>
          <w:iCs/>
          <w:kern w:val="0"/>
          <w:lang w:eastAsia="es-AR"/>
          <w14:ligatures w14:val="none"/>
        </w:rPr>
        <w:t>Independent</w:t>
      </w:r>
      <w:proofErr w:type="spellEnd"/>
      <w:r w:rsidRPr="008334FF">
        <w:rPr>
          <w:rFonts w:ascii="Times New Roman" w:eastAsia="Times New Roman" w:hAnsi="Times New Roman" w:cs="Times New Roman"/>
          <w:i/>
          <w:iCs/>
          <w:kern w:val="0"/>
          <w:lang w:eastAsia="es-AR"/>
          <w14:ligatures w14:val="none"/>
        </w:rPr>
        <w:t xml:space="preserve"> Network </w:t>
      </w:r>
      <w:proofErr w:type="spellStart"/>
      <w:r w:rsidRPr="008334FF">
        <w:rPr>
          <w:rFonts w:ascii="Times New Roman" w:eastAsia="Times New Roman" w:hAnsi="Times New Roman" w:cs="Times New Roman"/>
          <w:i/>
          <w:iCs/>
          <w:kern w:val="0"/>
          <w:lang w:eastAsia="es-AR"/>
          <w14:ligatures w14:val="none"/>
        </w:rPr>
        <w:t>of</w:t>
      </w:r>
      <w:proofErr w:type="spellEnd"/>
      <w:r w:rsidRPr="008334FF">
        <w:rPr>
          <w:rFonts w:ascii="Times New Roman" w:eastAsia="Times New Roman" w:hAnsi="Times New Roman" w:cs="Times New Roman"/>
          <w:i/>
          <w:iCs/>
          <w:kern w:val="0"/>
          <w:lang w:eastAsia="es-AR"/>
          <w14:ligatures w14:val="none"/>
        </w:rPr>
        <w:t xml:space="preserve"> </w:t>
      </w:r>
      <w:proofErr w:type="spellStart"/>
      <w:r w:rsidRPr="008334FF">
        <w:rPr>
          <w:rFonts w:ascii="Times New Roman" w:eastAsia="Times New Roman" w:hAnsi="Times New Roman" w:cs="Times New Roman"/>
          <w:i/>
          <w:iCs/>
          <w:kern w:val="0"/>
          <w:lang w:eastAsia="es-AR"/>
          <w14:ligatures w14:val="none"/>
        </w:rPr>
        <w:t>M</w:t>
      </w:r>
      <w:r w:rsidR="00034E88">
        <w:rPr>
          <w:rFonts w:ascii="Times New Roman" w:eastAsia="Times New Roman" w:hAnsi="Times New Roman" w:cs="Times New Roman"/>
          <w:i/>
          <w:iCs/>
          <w:kern w:val="0"/>
          <w:lang w:eastAsia="es-AR"/>
          <w14:ligatures w14:val="none"/>
        </w:rPr>
        <w:t>arket</w:t>
      </w:r>
      <w:proofErr w:type="spellEnd"/>
      <w:r w:rsidR="00034E88">
        <w:rPr>
          <w:rFonts w:ascii="Times New Roman" w:eastAsia="Times New Roman" w:hAnsi="Times New Roman" w:cs="Times New Roman"/>
          <w:i/>
          <w:iCs/>
          <w:kern w:val="0"/>
          <w:lang w:eastAsia="es-AR"/>
          <w14:ligatures w14:val="none"/>
        </w:rPr>
        <w:t xml:space="preserve"> </w:t>
      </w:r>
      <w:proofErr w:type="spellStart"/>
      <w:r w:rsidR="00034E88">
        <w:rPr>
          <w:rFonts w:ascii="Times New Roman" w:eastAsia="Times New Roman" w:hAnsi="Times New Roman" w:cs="Times New Roman"/>
          <w:i/>
          <w:iCs/>
          <w:kern w:val="0"/>
          <w:lang w:eastAsia="es-AR"/>
          <w14:ligatures w14:val="none"/>
        </w:rPr>
        <w:t>research</w:t>
      </w:r>
      <w:proofErr w:type="spellEnd"/>
      <w:r w:rsidR="00034E88">
        <w:rPr>
          <w:rFonts w:ascii="Times New Roman" w:eastAsia="Times New Roman" w:hAnsi="Times New Roman" w:cs="Times New Roman"/>
          <w:i/>
          <w:iCs/>
          <w:kern w:val="0"/>
          <w:lang w:eastAsia="es-AR"/>
          <w14:ligatures w14:val="none"/>
        </w:rPr>
        <w:t xml:space="preserve"> </w:t>
      </w:r>
      <w:r w:rsidRPr="008334FF">
        <w:rPr>
          <w:rFonts w:ascii="Times New Roman" w:eastAsia="Times New Roman" w:hAnsi="Times New Roman" w:cs="Times New Roman"/>
          <w:i/>
          <w:iCs/>
          <w:kern w:val="0"/>
          <w:lang w:eastAsia="es-AR"/>
          <w14:ligatures w14:val="none"/>
        </w:rPr>
        <w:t>(WIN)</w:t>
      </w:r>
      <w:r w:rsidRPr="008334FF">
        <w:rPr>
          <w:rFonts w:ascii="Times New Roman" w:eastAsia="Times New Roman" w:hAnsi="Times New Roman" w:cs="Times New Roman"/>
          <w:kern w:val="0"/>
          <w:lang w:eastAsia="es-AR"/>
          <w14:ligatures w14:val="none"/>
        </w:rPr>
        <w:t>, la principal asociación global de firmas independientes de investigación de mercado y encuestas de opinión</w:t>
      </w:r>
      <w:r w:rsidR="00034E88">
        <w:rPr>
          <w:rFonts w:ascii="Times New Roman" w:eastAsia="Times New Roman" w:hAnsi="Times New Roman" w:cs="Times New Roman"/>
          <w:kern w:val="0"/>
          <w:lang w:eastAsia="es-AR"/>
          <w14:ligatures w14:val="none"/>
        </w:rPr>
        <w:t xml:space="preserve"> y Voices en Argentina</w:t>
      </w:r>
      <w:r w:rsidRPr="008334FF">
        <w:rPr>
          <w:rFonts w:ascii="Times New Roman" w:eastAsia="Times New Roman" w:hAnsi="Times New Roman" w:cs="Times New Roman"/>
          <w:kern w:val="0"/>
          <w:lang w:eastAsia="es-AR"/>
          <w14:ligatures w14:val="none"/>
        </w:rPr>
        <w:t>, ha</w:t>
      </w:r>
      <w:r w:rsidR="00034E88">
        <w:rPr>
          <w:rFonts w:ascii="Times New Roman" w:eastAsia="Times New Roman" w:hAnsi="Times New Roman" w:cs="Times New Roman"/>
          <w:kern w:val="0"/>
          <w:lang w:eastAsia="es-AR"/>
          <w14:ligatures w14:val="none"/>
        </w:rPr>
        <w:t>n</w:t>
      </w:r>
      <w:r w:rsidRPr="008334FF">
        <w:rPr>
          <w:rFonts w:ascii="Times New Roman" w:eastAsia="Times New Roman" w:hAnsi="Times New Roman" w:cs="Times New Roman"/>
          <w:kern w:val="0"/>
          <w:lang w:eastAsia="es-AR"/>
          <w14:ligatures w14:val="none"/>
        </w:rPr>
        <w:t xml:space="preserve"> publicado su </w:t>
      </w:r>
      <w:proofErr w:type="spellStart"/>
      <w:r w:rsidRPr="008334FF">
        <w:rPr>
          <w:rFonts w:ascii="Times New Roman" w:eastAsia="Times New Roman" w:hAnsi="Times New Roman" w:cs="Times New Roman"/>
          <w:i/>
          <w:iCs/>
          <w:kern w:val="0"/>
          <w:lang w:eastAsia="es-AR"/>
          <w14:ligatures w14:val="none"/>
        </w:rPr>
        <w:t>Worldviews</w:t>
      </w:r>
      <w:proofErr w:type="spellEnd"/>
      <w:r w:rsidRPr="008334FF">
        <w:rPr>
          <w:rFonts w:ascii="Times New Roman" w:eastAsia="Times New Roman" w:hAnsi="Times New Roman" w:cs="Times New Roman"/>
          <w:i/>
          <w:iCs/>
          <w:kern w:val="0"/>
          <w:lang w:eastAsia="es-AR"/>
          <w14:ligatures w14:val="none"/>
        </w:rPr>
        <w:t xml:space="preserve"> </w:t>
      </w:r>
      <w:proofErr w:type="spellStart"/>
      <w:r w:rsidRPr="008334FF">
        <w:rPr>
          <w:rFonts w:ascii="Times New Roman" w:eastAsia="Times New Roman" w:hAnsi="Times New Roman" w:cs="Times New Roman"/>
          <w:i/>
          <w:iCs/>
          <w:kern w:val="0"/>
          <w:lang w:eastAsia="es-AR"/>
          <w14:ligatures w14:val="none"/>
        </w:rPr>
        <w:t>Survey</w:t>
      </w:r>
      <w:proofErr w:type="spellEnd"/>
      <w:r w:rsidRPr="008334FF">
        <w:rPr>
          <w:rFonts w:ascii="Times New Roman" w:eastAsia="Times New Roman" w:hAnsi="Times New Roman" w:cs="Times New Roman"/>
          <w:kern w:val="0"/>
          <w:lang w:eastAsia="es-AR"/>
          <w14:ligatures w14:val="none"/>
        </w:rPr>
        <w:t xml:space="preserve">. La encuesta de este año recopila las perspectivas y creencias de 34.946 personas en 39 países. Los últimos hallazgos de WIN arrojan luz sobre la falta de correlación entre la percepción de la igualdad de género y el comportamiento real, la violencia y las medidas para promover los derechos de las mujeres. La encuesta ha seguido el progreso en estos </w:t>
      </w:r>
      <w:r w:rsidR="007F12AC">
        <w:rPr>
          <w:rFonts w:ascii="Times New Roman" w:eastAsia="Times New Roman" w:hAnsi="Times New Roman" w:cs="Times New Roman"/>
          <w:kern w:val="0"/>
          <w:lang w:eastAsia="es-AR"/>
          <w14:ligatures w14:val="none"/>
        </w:rPr>
        <w:t>temas</w:t>
      </w:r>
      <w:r w:rsidRPr="008334FF">
        <w:rPr>
          <w:rFonts w:ascii="Times New Roman" w:eastAsia="Times New Roman" w:hAnsi="Times New Roman" w:cs="Times New Roman"/>
          <w:kern w:val="0"/>
          <w:lang w:eastAsia="es-AR"/>
          <w14:ligatures w14:val="none"/>
        </w:rPr>
        <w:t xml:space="preserve"> durante seis años, desde su inicio en 2019, y evalúa si las oportunidades y derechos están mejorando en todo el mundo.</w:t>
      </w:r>
    </w:p>
    <w:p w14:paraId="278A1D70" w14:textId="77777777" w:rsidR="008334FF" w:rsidRPr="008334FF" w:rsidRDefault="008334FF" w:rsidP="0009790B">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s-AR"/>
          <w14:ligatures w14:val="none"/>
        </w:rPr>
      </w:pPr>
      <w:r w:rsidRPr="008334FF">
        <w:rPr>
          <w:rFonts w:ascii="Times New Roman" w:eastAsia="Times New Roman" w:hAnsi="Times New Roman" w:cs="Times New Roman"/>
          <w:b/>
          <w:bCs/>
          <w:kern w:val="0"/>
          <w:sz w:val="27"/>
          <w:szCs w:val="27"/>
          <w:lang w:eastAsia="es-AR"/>
          <w14:ligatures w14:val="none"/>
        </w:rPr>
        <w:t>Resumen de los hallazgos:</w:t>
      </w:r>
    </w:p>
    <w:p w14:paraId="78980E14" w14:textId="657A50D8" w:rsidR="008334FF" w:rsidRPr="008334FF" w:rsidRDefault="008334FF" w:rsidP="0009790B">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s-AR"/>
          <w14:ligatures w14:val="none"/>
        </w:rPr>
      </w:pPr>
      <w:r w:rsidRPr="008334FF">
        <w:rPr>
          <w:rFonts w:ascii="Times New Roman" w:eastAsia="Times New Roman" w:hAnsi="Times New Roman" w:cs="Times New Roman"/>
          <w:b/>
          <w:bCs/>
          <w:kern w:val="0"/>
          <w:sz w:val="27"/>
          <w:szCs w:val="27"/>
          <w:lang w:eastAsia="es-AR"/>
          <w14:ligatures w14:val="none"/>
        </w:rPr>
        <w:t>Las tareas domésticas siguen recayendo en las mujeres</w:t>
      </w:r>
      <w:r w:rsidR="00034E88">
        <w:rPr>
          <w:rFonts w:ascii="Times New Roman" w:eastAsia="Times New Roman" w:hAnsi="Times New Roman" w:cs="Times New Roman"/>
          <w:b/>
          <w:bCs/>
          <w:kern w:val="0"/>
          <w:sz w:val="27"/>
          <w:szCs w:val="27"/>
          <w:lang w:eastAsia="es-AR"/>
          <w14:ligatures w14:val="none"/>
        </w:rPr>
        <w:t xml:space="preserve"> tanto a nivel global como en Argentina</w:t>
      </w:r>
    </w:p>
    <w:p w14:paraId="7C60FE89" w14:textId="240EC9CE" w:rsidR="008334FF" w:rsidRPr="008334FF" w:rsidRDefault="008334FF" w:rsidP="0009790B">
      <w:pPr>
        <w:spacing w:before="100" w:beforeAutospacing="1" w:after="100" w:afterAutospacing="1" w:line="240" w:lineRule="auto"/>
        <w:jc w:val="both"/>
        <w:rPr>
          <w:rFonts w:ascii="Times New Roman" w:eastAsia="Times New Roman" w:hAnsi="Times New Roman" w:cs="Times New Roman"/>
          <w:kern w:val="0"/>
          <w:lang w:eastAsia="es-AR"/>
          <w14:ligatures w14:val="none"/>
        </w:rPr>
      </w:pPr>
      <w:r w:rsidRPr="008334FF">
        <w:rPr>
          <w:rFonts w:ascii="Times New Roman" w:eastAsia="Times New Roman" w:hAnsi="Times New Roman" w:cs="Times New Roman"/>
          <w:kern w:val="0"/>
          <w:lang w:eastAsia="es-AR"/>
          <w14:ligatures w14:val="none"/>
        </w:rPr>
        <w:t xml:space="preserve">A pesar de que el 69% de las personas a nivel global cree que la igualdad en el hogar se ha logrado total o parcialmente, la distribución del trabajo doméstico muestra una realidad diferente. </w:t>
      </w:r>
      <w:r w:rsidR="00034E88">
        <w:rPr>
          <w:rFonts w:ascii="Times New Roman" w:eastAsia="Times New Roman" w:hAnsi="Times New Roman" w:cs="Times New Roman"/>
          <w:kern w:val="0"/>
          <w:lang w:eastAsia="es-AR"/>
          <w14:ligatures w14:val="none"/>
        </w:rPr>
        <w:t xml:space="preserve">Medimos la realización de las siguientes tareas </w:t>
      </w:r>
      <w:r w:rsidR="007F12AC">
        <w:rPr>
          <w:rFonts w:ascii="Times New Roman" w:eastAsia="Times New Roman" w:hAnsi="Times New Roman" w:cs="Times New Roman"/>
          <w:kern w:val="0"/>
          <w:lang w:eastAsia="es-AR"/>
          <w14:ligatures w14:val="none"/>
        </w:rPr>
        <w:t>domésticas</w:t>
      </w:r>
      <w:r w:rsidR="00034E88">
        <w:rPr>
          <w:rFonts w:ascii="Times New Roman" w:eastAsia="Times New Roman" w:hAnsi="Times New Roman" w:cs="Times New Roman"/>
          <w:kern w:val="0"/>
          <w:lang w:eastAsia="es-AR"/>
          <w14:ligatures w14:val="none"/>
        </w:rPr>
        <w:t xml:space="preserve"> que van desde cuidar </w:t>
      </w:r>
      <w:proofErr w:type="gramStart"/>
      <w:r w:rsidR="00034E88">
        <w:rPr>
          <w:rFonts w:ascii="Times New Roman" w:eastAsia="Times New Roman" w:hAnsi="Times New Roman" w:cs="Times New Roman"/>
          <w:kern w:val="0"/>
          <w:lang w:eastAsia="es-AR"/>
          <w14:ligatures w14:val="none"/>
        </w:rPr>
        <w:t>niños y niñas</w:t>
      </w:r>
      <w:proofErr w:type="gramEnd"/>
      <w:r w:rsidR="00034E88">
        <w:rPr>
          <w:rFonts w:ascii="Times New Roman" w:eastAsia="Times New Roman" w:hAnsi="Times New Roman" w:cs="Times New Roman"/>
          <w:kern w:val="0"/>
          <w:lang w:eastAsia="es-AR"/>
          <w14:ligatures w14:val="none"/>
        </w:rPr>
        <w:t xml:space="preserve"> y </w:t>
      </w:r>
      <w:r w:rsidR="007F12AC">
        <w:rPr>
          <w:rFonts w:ascii="Times New Roman" w:eastAsia="Times New Roman" w:hAnsi="Times New Roman" w:cs="Times New Roman"/>
          <w:kern w:val="0"/>
          <w:lang w:eastAsia="es-AR"/>
          <w14:ligatures w14:val="none"/>
        </w:rPr>
        <w:t>mascotas</w:t>
      </w:r>
      <w:r w:rsidR="00034E88">
        <w:rPr>
          <w:rFonts w:ascii="Times New Roman" w:eastAsia="Times New Roman" w:hAnsi="Times New Roman" w:cs="Times New Roman"/>
          <w:kern w:val="0"/>
          <w:lang w:eastAsia="es-AR"/>
          <w14:ligatures w14:val="none"/>
        </w:rPr>
        <w:t xml:space="preserve">, hasta cocinar, realizar las compras, ordenar la casa, tender la cama, etc. </w:t>
      </w:r>
      <w:r w:rsidRPr="008334FF">
        <w:rPr>
          <w:rFonts w:ascii="Times New Roman" w:eastAsia="Times New Roman" w:hAnsi="Times New Roman" w:cs="Times New Roman"/>
          <w:kern w:val="0"/>
          <w:lang w:eastAsia="es-AR"/>
          <w14:ligatures w14:val="none"/>
        </w:rPr>
        <w:t xml:space="preserve">Todas las tareas siguen realizándose mayoritariamente por mujeres, excepto "sacar la basura" (la única tarea que los hombres hacen más </w:t>
      </w:r>
      <w:r w:rsidR="007F12AC">
        <w:rPr>
          <w:rFonts w:ascii="Times New Roman" w:eastAsia="Times New Roman" w:hAnsi="Times New Roman" w:cs="Times New Roman"/>
          <w:kern w:val="0"/>
          <w:lang w:eastAsia="es-AR"/>
          <w14:ligatures w14:val="none"/>
        </w:rPr>
        <w:t xml:space="preserve">que las mujeres </w:t>
      </w:r>
      <w:r w:rsidRPr="008334FF">
        <w:rPr>
          <w:rFonts w:ascii="Times New Roman" w:eastAsia="Times New Roman" w:hAnsi="Times New Roman" w:cs="Times New Roman"/>
          <w:kern w:val="0"/>
          <w:lang w:eastAsia="es-AR"/>
          <w14:ligatures w14:val="none"/>
        </w:rPr>
        <w:t>en 23 de 39 países; 56% de hombres frente a 53% de mujeres) y "hacer las compras", que es compartida por ambos géneros (46% hombres frente a 49% mujeres).</w:t>
      </w:r>
    </w:p>
    <w:p w14:paraId="3011D5EA" w14:textId="07ADD3DA" w:rsidR="008334FF" w:rsidRPr="008334FF" w:rsidRDefault="00085941" w:rsidP="0009790B">
      <w:pPr>
        <w:spacing w:before="100" w:beforeAutospacing="1" w:after="100" w:afterAutospacing="1" w:line="240" w:lineRule="auto"/>
        <w:jc w:val="both"/>
        <w:rPr>
          <w:rFonts w:ascii="Times New Roman" w:eastAsia="Times New Roman" w:hAnsi="Times New Roman" w:cs="Times New Roman"/>
          <w:kern w:val="0"/>
          <w:lang w:eastAsia="es-AR"/>
          <w14:ligatures w14:val="none"/>
        </w:rPr>
      </w:pPr>
      <w:r>
        <w:rPr>
          <w:rFonts w:ascii="Times New Roman" w:eastAsia="Times New Roman" w:hAnsi="Times New Roman" w:cs="Times New Roman"/>
          <w:kern w:val="0"/>
          <w:lang w:eastAsia="es-AR"/>
          <w14:ligatures w14:val="none"/>
        </w:rPr>
        <w:t xml:space="preserve">A nivel global, </w:t>
      </w:r>
      <w:r w:rsidR="007F12AC">
        <w:rPr>
          <w:rFonts w:ascii="Times New Roman" w:eastAsia="Times New Roman" w:hAnsi="Times New Roman" w:cs="Times New Roman"/>
          <w:kern w:val="0"/>
          <w:lang w:eastAsia="es-AR"/>
          <w14:ligatures w14:val="none"/>
        </w:rPr>
        <w:t>l</w:t>
      </w:r>
      <w:r w:rsidR="008334FF" w:rsidRPr="008334FF">
        <w:rPr>
          <w:rFonts w:ascii="Times New Roman" w:eastAsia="Times New Roman" w:hAnsi="Times New Roman" w:cs="Times New Roman"/>
          <w:kern w:val="0"/>
          <w:lang w:eastAsia="es-AR"/>
          <w14:ligatures w14:val="none"/>
        </w:rPr>
        <w:t>as tareas con mayor brecha de género son "lavar la ropa" (realizada en mayor medida por mujeres en todos los países) y "cocinar" (en 38 de los 39 países la realizan mayoritariamente las mujeres), con una diferencia del 27%. Esto contrasta marcadamente con el mundo de la alta cocina, donde históricamente los chefs más reconocidos han sido hombres.</w:t>
      </w:r>
      <w:r w:rsidR="007F12AC">
        <w:rPr>
          <w:rFonts w:ascii="Times New Roman" w:eastAsia="Times New Roman" w:hAnsi="Times New Roman" w:cs="Times New Roman"/>
          <w:kern w:val="0"/>
          <w:lang w:eastAsia="es-AR"/>
          <w14:ligatures w14:val="none"/>
        </w:rPr>
        <w:t xml:space="preserve"> </w:t>
      </w:r>
      <w:r w:rsidR="008334FF" w:rsidRPr="008334FF">
        <w:rPr>
          <w:rFonts w:ascii="Times New Roman" w:eastAsia="Times New Roman" w:hAnsi="Times New Roman" w:cs="Times New Roman"/>
          <w:kern w:val="0"/>
          <w:lang w:eastAsia="es-AR"/>
          <w14:ligatures w14:val="none"/>
        </w:rPr>
        <w:t>Los hallazgos subrayan que los roles de género tradicionales siguen dominando en las responsabilidades domésticas.</w:t>
      </w:r>
    </w:p>
    <w:p w14:paraId="37484D7F" w14:textId="4B457FC3" w:rsidR="008334FF" w:rsidRDefault="008334FF" w:rsidP="0009790B">
      <w:pPr>
        <w:spacing w:before="100" w:beforeAutospacing="1" w:after="100" w:afterAutospacing="1" w:line="240" w:lineRule="auto"/>
        <w:jc w:val="both"/>
        <w:rPr>
          <w:rFonts w:ascii="Times New Roman" w:eastAsia="Times New Roman" w:hAnsi="Times New Roman" w:cs="Times New Roman"/>
          <w:kern w:val="0"/>
          <w:lang w:eastAsia="es-AR"/>
          <w14:ligatures w14:val="none"/>
        </w:rPr>
      </w:pPr>
      <w:r w:rsidRPr="008334FF">
        <w:rPr>
          <w:rFonts w:ascii="Times New Roman" w:eastAsia="Times New Roman" w:hAnsi="Times New Roman" w:cs="Times New Roman"/>
          <w:kern w:val="0"/>
          <w:lang w:eastAsia="es-AR"/>
          <w14:ligatures w14:val="none"/>
        </w:rPr>
        <w:t>Incluso en países donde la igualdad de género es percibida como más avanzada, la distribución de las tareas domésticas sigue siendo desigual, aunque en menor medida. Las menores brechas de género se encuentran en Suecia, EE. UU., Noruega y Canadá. En el otro extremo, Pakistán presenta la mayor disparidad</w:t>
      </w:r>
      <w:r w:rsidR="00085941">
        <w:rPr>
          <w:rFonts w:ascii="Times New Roman" w:eastAsia="Times New Roman" w:hAnsi="Times New Roman" w:cs="Times New Roman"/>
          <w:kern w:val="0"/>
          <w:lang w:eastAsia="es-AR"/>
          <w14:ligatures w14:val="none"/>
        </w:rPr>
        <w:t xml:space="preserve">, </w:t>
      </w:r>
      <w:r w:rsidRPr="008334FF">
        <w:rPr>
          <w:rFonts w:ascii="Times New Roman" w:eastAsia="Times New Roman" w:hAnsi="Times New Roman" w:cs="Times New Roman"/>
          <w:kern w:val="0"/>
          <w:lang w:eastAsia="es-AR"/>
          <w14:ligatures w14:val="none"/>
        </w:rPr>
        <w:t xml:space="preserve">seguido de </w:t>
      </w:r>
      <w:r w:rsidR="007F12AC" w:rsidRPr="008334FF">
        <w:rPr>
          <w:rFonts w:ascii="Times New Roman" w:eastAsia="Times New Roman" w:hAnsi="Times New Roman" w:cs="Times New Roman"/>
          <w:kern w:val="0"/>
          <w:lang w:eastAsia="es-AR"/>
          <w14:ligatures w14:val="none"/>
        </w:rPr>
        <w:t>Indonesia,</w:t>
      </w:r>
      <w:r w:rsidRPr="008334FF">
        <w:rPr>
          <w:rFonts w:ascii="Times New Roman" w:eastAsia="Times New Roman" w:hAnsi="Times New Roman" w:cs="Times New Roman"/>
          <w:kern w:val="0"/>
          <w:lang w:eastAsia="es-AR"/>
          <w14:ligatures w14:val="none"/>
        </w:rPr>
        <w:t xml:space="preserve"> Vietnam</w:t>
      </w:r>
      <w:r w:rsidR="00034E88">
        <w:rPr>
          <w:rFonts w:ascii="Times New Roman" w:eastAsia="Times New Roman" w:hAnsi="Times New Roman" w:cs="Times New Roman"/>
          <w:kern w:val="0"/>
          <w:lang w:eastAsia="es-AR"/>
          <w14:ligatures w14:val="none"/>
        </w:rPr>
        <w:t xml:space="preserve"> (</w:t>
      </w:r>
      <w:r w:rsidRPr="008334FF">
        <w:rPr>
          <w:rFonts w:ascii="Times New Roman" w:eastAsia="Times New Roman" w:hAnsi="Times New Roman" w:cs="Times New Roman"/>
          <w:kern w:val="0"/>
          <w:lang w:eastAsia="es-AR"/>
          <w14:ligatures w14:val="none"/>
        </w:rPr>
        <w:t xml:space="preserve">a </w:t>
      </w:r>
      <w:r w:rsidRPr="008334FF">
        <w:rPr>
          <w:rFonts w:ascii="Times New Roman" w:eastAsia="Times New Roman" w:hAnsi="Times New Roman" w:cs="Times New Roman"/>
          <w:kern w:val="0"/>
          <w:lang w:eastAsia="es-AR"/>
          <w14:ligatures w14:val="none"/>
        </w:rPr>
        <w:lastRenderedPageBreak/>
        <w:t xml:space="preserve">pesar de tener la percepción más alta de igualdad </w:t>
      </w:r>
      <w:r w:rsidR="007F12AC">
        <w:rPr>
          <w:rFonts w:ascii="Times New Roman" w:eastAsia="Times New Roman" w:hAnsi="Times New Roman" w:cs="Times New Roman"/>
          <w:kern w:val="0"/>
          <w:lang w:eastAsia="es-AR"/>
          <w14:ligatures w14:val="none"/>
        </w:rPr>
        <w:t xml:space="preserve">de género </w:t>
      </w:r>
      <w:r w:rsidRPr="008334FF">
        <w:rPr>
          <w:rFonts w:ascii="Times New Roman" w:eastAsia="Times New Roman" w:hAnsi="Times New Roman" w:cs="Times New Roman"/>
          <w:kern w:val="0"/>
          <w:lang w:eastAsia="es-AR"/>
          <w14:ligatures w14:val="none"/>
        </w:rPr>
        <w:t>en el hogar con 92%), Filipinas y Turquía.</w:t>
      </w:r>
      <w:r w:rsidR="005B1862">
        <w:rPr>
          <w:rFonts w:ascii="Times New Roman" w:eastAsia="Times New Roman" w:hAnsi="Times New Roman" w:cs="Times New Roman"/>
          <w:kern w:val="0"/>
          <w:lang w:eastAsia="es-AR"/>
          <w14:ligatures w14:val="none"/>
        </w:rPr>
        <w:t xml:space="preserve"> </w:t>
      </w:r>
    </w:p>
    <w:p w14:paraId="36DD7AB8" w14:textId="3CBB2E31" w:rsidR="005B1862" w:rsidRPr="00943699" w:rsidRDefault="00085941" w:rsidP="0009790B">
      <w:pPr>
        <w:spacing w:before="100" w:beforeAutospacing="1" w:after="100" w:afterAutospacing="1" w:line="240" w:lineRule="auto"/>
        <w:jc w:val="both"/>
        <w:rPr>
          <w:rFonts w:ascii="Times New Roman" w:eastAsia="Times New Roman" w:hAnsi="Times New Roman" w:cs="Times New Roman"/>
          <w:color w:val="000000" w:themeColor="text1"/>
          <w:kern w:val="0"/>
          <w:lang w:eastAsia="es-AR"/>
          <w14:ligatures w14:val="none"/>
        </w:rPr>
      </w:pPr>
      <w:r w:rsidRPr="00943699">
        <w:rPr>
          <w:rFonts w:ascii="Times New Roman" w:eastAsia="Times New Roman" w:hAnsi="Times New Roman" w:cs="Times New Roman"/>
          <w:b/>
          <w:bCs/>
          <w:color w:val="000000" w:themeColor="text1"/>
          <w:kern w:val="0"/>
          <w:lang w:eastAsia="es-AR"/>
          <w14:ligatures w14:val="none"/>
        </w:rPr>
        <w:t xml:space="preserve">Argentina y </w:t>
      </w:r>
      <w:r w:rsidR="007F12AC" w:rsidRPr="00943699">
        <w:rPr>
          <w:rFonts w:ascii="Times New Roman" w:eastAsia="Times New Roman" w:hAnsi="Times New Roman" w:cs="Times New Roman"/>
          <w:b/>
          <w:bCs/>
          <w:color w:val="000000" w:themeColor="text1"/>
          <w:kern w:val="0"/>
          <w:lang w:eastAsia="es-AR"/>
          <w14:ligatures w14:val="none"/>
        </w:rPr>
        <w:t>América</w:t>
      </w:r>
      <w:r w:rsidRPr="00943699">
        <w:rPr>
          <w:rFonts w:ascii="Times New Roman" w:eastAsia="Times New Roman" w:hAnsi="Times New Roman" w:cs="Times New Roman"/>
          <w:b/>
          <w:bCs/>
          <w:color w:val="000000" w:themeColor="text1"/>
          <w:kern w:val="0"/>
          <w:lang w:eastAsia="es-AR"/>
          <w14:ligatures w14:val="none"/>
        </w:rPr>
        <w:t xml:space="preserve"> Latina:</w:t>
      </w:r>
      <w:r w:rsidRPr="00943699">
        <w:rPr>
          <w:rFonts w:ascii="Times New Roman" w:eastAsia="Times New Roman" w:hAnsi="Times New Roman" w:cs="Times New Roman"/>
          <w:color w:val="000000" w:themeColor="text1"/>
          <w:kern w:val="0"/>
          <w:lang w:eastAsia="es-AR"/>
          <w14:ligatures w14:val="none"/>
        </w:rPr>
        <w:t xml:space="preserve"> </w:t>
      </w:r>
      <w:r w:rsidR="0009790B" w:rsidRPr="00943699">
        <w:rPr>
          <w:rFonts w:ascii="Times New Roman" w:eastAsia="Times New Roman" w:hAnsi="Times New Roman" w:cs="Times New Roman"/>
          <w:color w:val="000000" w:themeColor="text1"/>
          <w:kern w:val="0"/>
          <w:lang w:eastAsia="es-AR"/>
          <w14:ligatures w14:val="none"/>
        </w:rPr>
        <w:t>Con excepción de Ecuador, la mayoría de los países de la región presentan una brecha considerable en la distribución equitativa de las tareas domésticas, en línea con el promedio global (-15,7%). En Argentina, la brecha es del -14,50%, en Chile alcanza el -16,10%, mientras que en México y Brasil supera ligeramente el promedio global, con -18,40% y -19,90%, respectivamente. En Perú y Paraguay, la brecha es aún más pronunciada, superando el promedio global.</w:t>
      </w:r>
    </w:p>
    <w:p w14:paraId="664C1441" w14:textId="56970222" w:rsidR="00085941" w:rsidRPr="00943699" w:rsidRDefault="00085941" w:rsidP="0009790B">
      <w:pPr>
        <w:spacing w:before="100" w:beforeAutospacing="1" w:after="100" w:afterAutospacing="1" w:line="240" w:lineRule="auto"/>
        <w:jc w:val="both"/>
        <w:rPr>
          <w:rFonts w:ascii="Times New Roman" w:eastAsia="Times New Roman" w:hAnsi="Times New Roman" w:cs="Times New Roman"/>
          <w:color w:val="000000" w:themeColor="text1"/>
          <w:kern w:val="0"/>
          <w:lang w:eastAsia="es-AR"/>
          <w14:ligatures w14:val="none"/>
        </w:rPr>
      </w:pPr>
      <w:r w:rsidRPr="00943699">
        <w:rPr>
          <w:rFonts w:ascii="Times New Roman" w:eastAsia="Times New Roman" w:hAnsi="Times New Roman" w:cs="Times New Roman"/>
          <w:color w:val="000000" w:themeColor="text1"/>
          <w:kern w:val="0"/>
          <w:lang w:eastAsia="es-AR"/>
          <w14:ligatures w14:val="none"/>
        </w:rPr>
        <w:t>En nuestro país todas las actividades dom</w:t>
      </w:r>
      <w:r w:rsidR="00A71288" w:rsidRPr="00943699">
        <w:rPr>
          <w:rFonts w:ascii="Times New Roman" w:eastAsia="Times New Roman" w:hAnsi="Times New Roman" w:cs="Times New Roman"/>
          <w:color w:val="000000" w:themeColor="text1"/>
          <w:kern w:val="0"/>
          <w:lang w:eastAsia="es-AR"/>
          <w14:ligatures w14:val="none"/>
        </w:rPr>
        <w:t>é</w:t>
      </w:r>
      <w:r w:rsidRPr="00943699">
        <w:rPr>
          <w:rFonts w:ascii="Times New Roman" w:eastAsia="Times New Roman" w:hAnsi="Times New Roman" w:cs="Times New Roman"/>
          <w:color w:val="000000" w:themeColor="text1"/>
          <w:kern w:val="0"/>
          <w:lang w:eastAsia="es-AR"/>
          <w14:ligatures w14:val="none"/>
        </w:rPr>
        <w:t xml:space="preserve">sticas medidas son </w:t>
      </w:r>
      <w:r w:rsidR="00843EB7" w:rsidRPr="00943699">
        <w:rPr>
          <w:rFonts w:ascii="Times New Roman" w:eastAsia="Times New Roman" w:hAnsi="Times New Roman" w:cs="Times New Roman"/>
          <w:color w:val="000000" w:themeColor="text1"/>
          <w:kern w:val="0"/>
          <w:lang w:eastAsia="es-AR"/>
          <w14:ligatures w14:val="none"/>
        </w:rPr>
        <w:t>más</w:t>
      </w:r>
      <w:r w:rsidRPr="00943699">
        <w:rPr>
          <w:rFonts w:ascii="Times New Roman" w:eastAsia="Times New Roman" w:hAnsi="Times New Roman" w:cs="Times New Roman"/>
          <w:color w:val="000000" w:themeColor="text1"/>
          <w:kern w:val="0"/>
          <w:lang w:eastAsia="es-AR"/>
          <w14:ligatures w14:val="none"/>
        </w:rPr>
        <w:t xml:space="preserve"> realizadas por mujeres que por hombres salvo sacar la basura</w:t>
      </w:r>
      <w:r w:rsidR="00A71288" w:rsidRPr="00943699">
        <w:rPr>
          <w:rFonts w:ascii="Times New Roman" w:eastAsia="Times New Roman" w:hAnsi="Times New Roman" w:cs="Times New Roman"/>
          <w:color w:val="000000" w:themeColor="text1"/>
          <w:kern w:val="0"/>
          <w:lang w:eastAsia="es-AR"/>
          <w14:ligatures w14:val="none"/>
        </w:rPr>
        <w:t xml:space="preserve">, </w:t>
      </w:r>
      <w:r w:rsidRPr="00943699">
        <w:rPr>
          <w:rFonts w:ascii="Times New Roman" w:eastAsia="Times New Roman" w:hAnsi="Times New Roman" w:cs="Times New Roman"/>
          <w:color w:val="000000" w:themeColor="text1"/>
          <w:kern w:val="0"/>
          <w:lang w:eastAsia="es-AR"/>
          <w14:ligatures w14:val="none"/>
        </w:rPr>
        <w:t>que es más frecuente que la realicen los hombres</w:t>
      </w:r>
      <w:r w:rsidR="00A71288" w:rsidRPr="00943699">
        <w:rPr>
          <w:rFonts w:ascii="Times New Roman" w:eastAsia="Times New Roman" w:hAnsi="Times New Roman" w:cs="Times New Roman"/>
          <w:color w:val="000000" w:themeColor="text1"/>
          <w:kern w:val="0"/>
          <w:lang w:eastAsia="es-AR"/>
          <w14:ligatures w14:val="none"/>
        </w:rPr>
        <w:t xml:space="preserve">, </w:t>
      </w:r>
      <w:r w:rsidRPr="00943699">
        <w:rPr>
          <w:rFonts w:ascii="Times New Roman" w:eastAsia="Times New Roman" w:hAnsi="Times New Roman" w:cs="Times New Roman"/>
          <w:color w:val="000000" w:themeColor="text1"/>
          <w:kern w:val="0"/>
          <w:lang w:eastAsia="es-AR"/>
          <w14:ligatures w14:val="none"/>
        </w:rPr>
        <w:t>y las compras donde son</w:t>
      </w:r>
      <w:r w:rsidR="00843EB7" w:rsidRPr="00943699">
        <w:rPr>
          <w:rFonts w:ascii="Times New Roman" w:eastAsia="Times New Roman" w:hAnsi="Times New Roman" w:cs="Times New Roman"/>
          <w:color w:val="000000" w:themeColor="text1"/>
          <w:kern w:val="0"/>
          <w:lang w:eastAsia="es-AR"/>
          <w14:ligatures w14:val="none"/>
        </w:rPr>
        <w:t xml:space="preserve"> si bien son más las mujeres que las realizan se encuentra bastante paridad. Las tareas con mayor desigualdad en la distribución en nuestro país son lavar el baño, ordenar la casa, lavar la ropa y cuidar a niños y mascotas. Resulta interesante ver c</w:t>
      </w:r>
      <w:r w:rsidR="00A71288" w:rsidRPr="00943699">
        <w:rPr>
          <w:rFonts w:ascii="Times New Roman" w:eastAsia="Times New Roman" w:hAnsi="Times New Roman" w:cs="Times New Roman"/>
          <w:color w:val="000000" w:themeColor="text1"/>
          <w:kern w:val="0"/>
          <w:lang w:eastAsia="es-AR"/>
          <w14:ligatures w14:val="none"/>
        </w:rPr>
        <w:t>ó</w:t>
      </w:r>
      <w:r w:rsidR="00843EB7" w:rsidRPr="00943699">
        <w:rPr>
          <w:rFonts w:ascii="Times New Roman" w:eastAsia="Times New Roman" w:hAnsi="Times New Roman" w:cs="Times New Roman"/>
          <w:color w:val="000000" w:themeColor="text1"/>
          <w:kern w:val="0"/>
          <w:lang w:eastAsia="es-AR"/>
          <w14:ligatures w14:val="none"/>
        </w:rPr>
        <w:t xml:space="preserve">mo las tareas </w:t>
      </w:r>
      <w:r w:rsidR="00402CAD" w:rsidRPr="00943699">
        <w:rPr>
          <w:rFonts w:ascii="Times New Roman" w:eastAsia="Times New Roman" w:hAnsi="Times New Roman" w:cs="Times New Roman"/>
          <w:color w:val="000000" w:themeColor="text1"/>
          <w:kern w:val="0"/>
          <w:lang w:eastAsia="es-AR"/>
          <w14:ligatures w14:val="none"/>
        </w:rPr>
        <w:t>más</w:t>
      </w:r>
      <w:r w:rsidR="00843EB7" w:rsidRPr="00943699">
        <w:rPr>
          <w:rFonts w:ascii="Times New Roman" w:eastAsia="Times New Roman" w:hAnsi="Times New Roman" w:cs="Times New Roman"/>
          <w:color w:val="000000" w:themeColor="text1"/>
          <w:kern w:val="0"/>
          <w:lang w:eastAsia="es-AR"/>
          <w14:ligatures w14:val="none"/>
        </w:rPr>
        <w:t xml:space="preserve"> realizadas por hombres (sacar la basura y hacer las compras) son tareas para el hogar pero que se realizan fuera </w:t>
      </w:r>
      <w:r w:rsidR="00A71288" w:rsidRPr="00943699">
        <w:rPr>
          <w:rFonts w:ascii="Times New Roman" w:eastAsia="Times New Roman" w:hAnsi="Times New Roman" w:cs="Times New Roman"/>
          <w:color w:val="000000" w:themeColor="text1"/>
          <w:kern w:val="0"/>
          <w:lang w:eastAsia="es-AR"/>
          <w14:ligatures w14:val="none"/>
        </w:rPr>
        <w:t>d</w:t>
      </w:r>
      <w:r w:rsidR="00843EB7" w:rsidRPr="00943699">
        <w:rPr>
          <w:rFonts w:ascii="Times New Roman" w:eastAsia="Times New Roman" w:hAnsi="Times New Roman" w:cs="Times New Roman"/>
          <w:color w:val="000000" w:themeColor="text1"/>
          <w:kern w:val="0"/>
          <w:lang w:eastAsia="es-AR"/>
          <w14:ligatures w14:val="none"/>
        </w:rPr>
        <w:t xml:space="preserve">el mismo, en cambio las más internas son las tareas donde mayor brecha hay. </w:t>
      </w:r>
    </w:p>
    <w:tbl>
      <w:tblPr>
        <w:tblStyle w:val="Tablaconcuadrculaclara"/>
        <w:tblW w:w="8654" w:type="dxa"/>
        <w:tblLook w:val="0420" w:firstRow="1" w:lastRow="0" w:firstColumn="0" w:lastColumn="0" w:noHBand="0" w:noVBand="1"/>
      </w:tblPr>
      <w:tblGrid>
        <w:gridCol w:w="4327"/>
        <w:gridCol w:w="4327"/>
      </w:tblGrid>
      <w:tr w:rsidR="00AA597B" w:rsidRPr="00943699" w14:paraId="3933939F" w14:textId="77777777" w:rsidTr="00943699">
        <w:trPr>
          <w:trHeight w:val="297"/>
        </w:trPr>
        <w:tc>
          <w:tcPr>
            <w:tcW w:w="4327" w:type="dxa"/>
            <w:vAlign w:val="center"/>
            <w:hideMark/>
          </w:tcPr>
          <w:p w14:paraId="1B4174A2" w14:textId="5175702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943699">
              <w:rPr>
                <w:rFonts w:ascii="Times New Roman" w:eastAsia="Times New Roman" w:hAnsi="Times New Roman" w:cs="Times New Roman"/>
                <w:b/>
                <w:bCs/>
                <w:color w:val="000000" w:themeColor="text1"/>
                <w:kern w:val="0"/>
                <w:sz w:val="22"/>
                <w:szCs w:val="22"/>
                <w:lang w:val="es-PE" w:eastAsia="es-AR"/>
                <w14:ligatures w14:val="none"/>
              </w:rPr>
              <w:t>País</w:t>
            </w:r>
          </w:p>
        </w:tc>
        <w:tc>
          <w:tcPr>
            <w:tcW w:w="4327" w:type="dxa"/>
            <w:vAlign w:val="center"/>
            <w:hideMark/>
          </w:tcPr>
          <w:p w14:paraId="39241B2E" w14:textId="1CB4C62C"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943699">
              <w:rPr>
                <w:rFonts w:ascii="Times New Roman" w:eastAsia="Times New Roman" w:hAnsi="Times New Roman" w:cs="Times New Roman"/>
                <w:b/>
                <w:bCs/>
                <w:color w:val="000000" w:themeColor="text1"/>
                <w:kern w:val="0"/>
                <w:sz w:val="22"/>
                <w:szCs w:val="22"/>
                <w:lang w:eastAsia="es-AR"/>
                <w14:ligatures w14:val="none"/>
              </w:rPr>
              <w:t xml:space="preserve">Brecha de género </w:t>
            </w:r>
            <w:r w:rsidR="00D543D6">
              <w:rPr>
                <w:rFonts w:ascii="Times New Roman" w:eastAsia="Times New Roman" w:hAnsi="Times New Roman" w:cs="Times New Roman"/>
                <w:b/>
                <w:bCs/>
                <w:color w:val="000000" w:themeColor="text1"/>
                <w:kern w:val="0"/>
                <w:sz w:val="22"/>
                <w:szCs w:val="22"/>
                <w:lang w:eastAsia="es-AR"/>
                <w14:ligatures w14:val="none"/>
              </w:rPr>
              <w:t xml:space="preserve">en realización de tareas domésticas </w:t>
            </w:r>
            <w:r w:rsidRPr="00943699">
              <w:rPr>
                <w:rFonts w:ascii="Times New Roman" w:eastAsia="Times New Roman" w:hAnsi="Times New Roman" w:cs="Times New Roman"/>
                <w:b/>
                <w:bCs/>
                <w:color w:val="000000" w:themeColor="text1"/>
                <w:kern w:val="0"/>
                <w:sz w:val="22"/>
                <w:szCs w:val="22"/>
                <w:lang w:eastAsia="es-AR"/>
                <w14:ligatures w14:val="none"/>
              </w:rPr>
              <w:t>(ordenado de menor brecha a mayor brecha)</w:t>
            </w:r>
          </w:p>
        </w:tc>
      </w:tr>
      <w:tr w:rsidR="005E7418" w:rsidRPr="00943699" w14:paraId="5DAB6390" w14:textId="77777777" w:rsidTr="00943699">
        <w:trPr>
          <w:trHeight w:val="297"/>
        </w:trPr>
        <w:tc>
          <w:tcPr>
            <w:tcW w:w="4327" w:type="dxa"/>
            <w:shd w:val="clear" w:color="auto" w:fill="E8E8E8" w:themeFill="background2"/>
            <w:vAlign w:val="center"/>
          </w:tcPr>
          <w:p w14:paraId="0CB8A26A" w14:textId="0BA0C86B" w:rsidR="005E7418" w:rsidRPr="00943699" w:rsidRDefault="005E7418"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943699">
              <w:rPr>
                <w:rFonts w:ascii="Times New Roman" w:eastAsia="Times New Roman" w:hAnsi="Times New Roman" w:cs="Times New Roman"/>
                <w:color w:val="000000" w:themeColor="text1"/>
                <w:kern w:val="0"/>
                <w:sz w:val="22"/>
                <w:szCs w:val="22"/>
                <w:lang w:eastAsia="es-AR"/>
                <w14:ligatures w14:val="none"/>
              </w:rPr>
              <w:t>PROMEDIO GLOBAL</w:t>
            </w:r>
          </w:p>
        </w:tc>
        <w:tc>
          <w:tcPr>
            <w:tcW w:w="4327" w:type="dxa"/>
            <w:shd w:val="clear" w:color="auto" w:fill="E8E8E8" w:themeFill="background2"/>
            <w:vAlign w:val="center"/>
          </w:tcPr>
          <w:p w14:paraId="223B72AF" w14:textId="6E3D8262" w:rsidR="005E7418" w:rsidRPr="00943699" w:rsidRDefault="005E7418"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943699">
              <w:rPr>
                <w:rFonts w:ascii="Times New Roman" w:eastAsia="Times New Roman" w:hAnsi="Times New Roman" w:cs="Times New Roman"/>
                <w:color w:val="000000" w:themeColor="text1"/>
                <w:kern w:val="0"/>
                <w:sz w:val="22"/>
                <w:szCs w:val="22"/>
                <w:lang w:val="es-PE" w:eastAsia="es-AR"/>
                <w14:ligatures w14:val="none"/>
              </w:rPr>
              <w:t>-15,7%</w:t>
            </w:r>
          </w:p>
        </w:tc>
      </w:tr>
      <w:tr w:rsidR="00AA597B" w:rsidRPr="00943699" w14:paraId="0D2187C8" w14:textId="77777777" w:rsidTr="00943699">
        <w:trPr>
          <w:trHeight w:val="297"/>
        </w:trPr>
        <w:tc>
          <w:tcPr>
            <w:tcW w:w="4327" w:type="dxa"/>
            <w:vAlign w:val="center"/>
            <w:hideMark/>
          </w:tcPr>
          <w:p w14:paraId="0AB3016C" w14:textId="5E502CEC"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943699">
              <w:rPr>
                <w:rFonts w:ascii="Times New Roman" w:eastAsia="Times New Roman" w:hAnsi="Times New Roman" w:cs="Times New Roman"/>
                <w:color w:val="000000" w:themeColor="text1"/>
                <w:kern w:val="0"/>
                <w:sz w:val="22"/>
                <w:szCs w:val="22"/>
                <w:lang w:eastAsia="es-AR"/>
                <w14:ligatures w14:val="none"/>
              </w:rPr>
              <w:t>Suecia</w:t>
            </w:r>
          </w:p>
        </w:tc>
        <w:tc>
          <w:tcPr>
            <w:tcW w:w="4327" w:type="dxa"/>
            <w:vAlign w:val="center"/>
            <w:hideMark/>
          </w:tcPr>
          <w:p w14:paraId="104A4ABA"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0,70%</w:t>
            </w:r>
          </w:p>
        </w:tc>
      </w:tr>
      <w:tr w:rsidR="00AA597B" w:rsidRPr="00943699" w14:paraId="7CB03786" w14:textId="77777777" w:rsidTr="00943699">
        <w:trPr>
          <w:trHeight w:val="297"/>
        </w:trPr>
        <w:tc>
          <w:tcPr>
            <w:tcW w:w="4327" w:type="dxa"/>
            <w:vAlign w:val="center"/>
            <w:hideMark/>
          </w:tcPr>
          <w:p w14:paraId="5A62BEB3" w14:textId="719864DE"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943699">
              <w:rPr>
                <w:rFonts w:ascii="Times New Roman" w:eastAsia="Times New Roman" w:hAnsi="Times New Roman" w:cs="Times New Roman"/>
                <w:color w:val="000000" w:themeColor="text1"/>
                <w:kern w:val="0"/>
                <w:sz w:val="22"/>
                <w:szCs w:val="22"/>
                <w:lang w:val="es-PE" w:eastAsia="es-AR"/>
                <w14:ligatures w14:val="none"/>
              </w:rPr>
              <w:t>Estados Unidos</w:t>
            </w:r>
          </w:p>
        </w:tc>
        <w:tc>
          <w:tcPr>
            <w:tcW w:w="4327" w:type="dxa"/>
            <w:vAlign w:val="center"/>
            <w:hideMark/>
          </w:tcPr>
          <w:p w14:paraId="193AB7F7"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-2,50%</w:t>
            </w:r>
          </w:p>
        </w:tc>
      </w:tr>
      <w:tr w:rsidR="00AA597B" w:rsidRPr="00943699" w14:paraId="34B3BCE7" w14:textId="77777777" w:rsidTr="00943699">
        <w:trPr>
          <w:trHeight w:val="297"/>
        </w:trPr>
        <w:tc>
          <w:tcPr>
            <w:tcW w:w="4327" w:type="dxa"/>
            <w:vAlign w:val="center"/>
            <w:hideMark/>
          </w:tcPr>
          <w:p w14:paraId="0F4F03BF" w14:textId="66987921"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Nor</w:t>
            </w:r>
            <w:r w:rsidRPr="00943699">
              <w:rPr>
                <w:rFonts w:ascii="Times New Roman" w:eastAsia="Times New Roman" w:hAnsi="Times New Roman" w:cs="Times New Roman"/>
                <w:color w:val="000000" w:themeColor="text1"/>
                <w:kern w:val="0"/>
                <w:sz w:val="22"/>
                <w:szCs w:val="22"/>
                <w:lang w:val="es-PE" w:eastAsia="es-AR"/>
                <w14:ligatures w14:val="none"/>
              </w:rPr>
              <w:t>uega</w:t>
            </w:r>
          </w:p>
        </w:tc>
        <w:tc>
          <w:tcPr>
            <w:tcW w:w="4327" w:type="dxa"/>
            <w:vAlign w:val="center"/>
            <w:hideMark/>
          </w:tcPr>
          <w:p w14:paraId="654F77CC"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-2,70%</w:t>
            </w:r>
          </w:p>
        </w:tc>
      </w:tr>
      <w:tr w:rsidR="00AA597B" w:rsidRPr="00943699" w14:paraId="7CBE21E7" w14:textId="77777777" w:rsidTr="00943699">
        <w:trPr>
          <w:trHeight w:val="297"/>
        </w:trPr>
        <w:tc>
          <w:tcPr>
            <w:tcW w:w="4327" w:type="dxa"/>
            <w:vAlign w:val="center"/>
            <w:hideMark/>
          </w:tcPr>
          <w:p w14:paraId="6E62C40E" w14:textId="2E287202"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Canad</w:t>
            </w:r>
            <w:r w:rsidRPr="00943699">
              <w:rPr>
                <w:rFonts w:ascii="Times New Roman" w:eastAsia="Times New Roman" w:hAnsi="Times New Roman" w:cs="Times New Roman"/>
                <w:color w:val="000000" w:themeColor="text1"/>
                <w:kern w:val="0"/>
                <w:sz w:val="22"/>
                <w:szCs w:val="22"/>
                <w:lang w:val="es-PE" w:eastAsia="es-AR"/>
                <w14:ligatures w14:val="none"/>
              </w:rPr>
              <w:t>á</w:t>
            </w:r>
          </w:p>
        </w:tc>
        <w:tc>
          <w:tcPr>
            <w:tcW w:w="4327" w:type="dxa"/>
            <w:vAlign w:val="center"/>
            <w:hideMark/>
          </w:tcPr>
          <w:p w14:paraId="5E083AA1"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-3,20%</w:t>
            </w:r>
          </w:p>
        </w:tc>
      </w:tr>
      <w:tr w:rsidR="00AA597B" w:rsidRPr="00943699" w14:paraId="0EA11362" w14:textId="77777777" w:rsidTr="00943699">
        <w:trPr>
          <w:trHeight w:val="297"/>
        </w:trPr>
        <w:tc>
          <w:tcPr>
            <w:tcW w:w="4327" w:type="dxa"/>
            <w:vAlign w:val="center"/>
            <w:hideMark/>
          </w:tcPr>
          <w:p w14:paraId="25279EF2" w14:textId="7AE8175A"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Finland</w:t>
            </w:r>
            <w:r w:rsidRPr="00943699">
              <w:rPr>
                <w:rFonts w:ascii="Times New Roman" w:eastAsia="Times New Roman" w:hAnsi="Times New Roman" w:cs="Times New Roman"/>
                <w:color w:val="000000" w:themeColor="text1"/>
                <w:kern w:val="0"/>
                <w:sz w:val="22"/>
                <w:szCs w:val="22"/>
                <w:lang w:val="es-PE" w:eastAsia="es-AR"/>
                <w14:ligatures w14:val="none"/>
              </w:rPr>
              <w:t>ia</w:t>
            </w:r>
          </w:p>
        </w:tc>
        <w:tc>
          <w:tcPr>
            <w:tcW w:w="4327" w:type="dxa"/>
            <w:vAlign w:val="center"/>
            <w:hideMark/>
          </w:tcPr>
          <w:p w14:paraId="7C095F7C"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-5,00%</w:t>
            </w:r>
          </w:p>
        </w:tc>
      </w:tr>
      <w:tr w:rsidR="00AA597B" w:rsidRPr="00943699" w14:paraId="7D312B73" w14:textId="77777777" w:rsidTr="00943699">
        <w:trPr>
          <w:trHeight w:val="297"/>
        </w:trPr>
        <w:tc>
          <w:tcPr>
            <w:tcW w:w="4327" w:type="dxa"/>
            <w:vAlign w:val="center"/>
            <w:hideMark/>
          </w:tcPr>
          <w:p w14:paraId="5471497A" w14:textId="34D4C0BF"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Mala</w:t>
            </w:r>
            <w:r w:rsidRPr="00943699">
              <w:rPr>
                <w:rFonts w:ascii="Times New Roman" w:eastAsia="Times New Roman" w:hAnsi="Times New Roman" w:cs="Times New Roman"/>
                <w:color w:val="000000" w:themeColor="text1"/>
                <w:kern w:val="0"/>
                <w:sz w:val="22"/>
                <w:szCs w:val="22"/>
                <w:lang w:val="es-PE" w:eastAsia="es-AR"/>
                <w14:ligatures w14:val="none"/>
              </w:rPr>
              <w:t>sia</w:t>
            </w:r>
          </w:p>
        </w:tc>
        <w:tc>
          <w:tcPr>
            <w:tcW w:w="4327" w:type="dxa"/>
            <w:vAlign w:val="center"/>
            <w:hideMark/>
          </w:tcPr>
          <w:p w14:paraId="191CB3FA"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-5,10%</w:t>
            </w:r>
          </w:p>
        </w:tc>
      </w:tr>
      <w:tr w:rsidR="00AA597B" w:rsidRPr="00943699" w14:paraId="670A2244" w14:textId="77777777" w:rsidTr="00943699">
        <w:trPr>
          <w:trHeight w:val="297"/>
        </w:trPr>
        <w:tc>
          <w:tcPr>
            <w:tcW w:w="4327" w:type="dxa"/>
            <w:vAlign w:val="center"/>
            <w:hideMark/>
          </w:tcPr>
          <w:p w14:paraId="625CCC5E"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Ecuador</w:t>
            </w:r>
          </w:p>
        </w:tc>
        <w:tc>
          <w:tcPr>
            <w:tcW w:w="4327" w:type="dxa"/>
            <w:vAlign w:val="center"/>
            <w:hideMark/>
          </w:tcPr>
          <w:p w14:paraId="1D191A14"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-5,30%</w:t>
            </w:r>
          </w:p>
        </w:tc>
      </w:tr>
      <w:tr w:rsidR="00AA597B" w:rsidRPr="00943699" w14:paraId="09D80CA0" w14:textId="77777777" w:rsidTr="00943699">
        <w:trPr>
          <w:trHeight w:val="297"/>
        </w:trPr>
        <w:tc>
          <w:tcPr>
            <w:tcW w:w="4327" w:type="dxa"/>
            <w:vAlign w:val="center"/>
            <w:hideMark/>
          </w:tcPr>
          <w:p w14:paraId="0AD182F7"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Australia</w:t>
            </w:r>
          </w:p>
        </w:tc>
        <w:tc>
          <w:tcPr>
            <w:tcW w:w="4327" w:type="dxa"/>
            <w:vAlign w:val="center"/>
            <w:hideMark/>
          </w:tcPr>
          <w:p w14:paraId="229A05AA"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-6,30%</w:t>
            </w:r>
          </w:p>
        </w:tc>
      </w:tr>
      <w:tr w:rsidR="00AA597B" w:rsidRPr="00943699" w14:paraId="1AB439B5" w14:textId="77777777" w:rsidTr="00943699">
        <w:trPr>
          <w:trHeight w:val="297"/>
        </w:trPr>
        <w:tc>
          <w:tcPr>
            <w:tcW w:w="4327" w:type="dxa"/>
            <w:vAlign w:val="center"/>
            <w:hideMark/>
          </w:tcPr>
          <w:p w14:paraId="4068FCA3"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Hong Kong</w:t>
            </w:r>
          </w:p>
        </w:tc>
        <w:tc>
          <w:tcPr>
            <w:tcW w:w="4327" w:type="dxa"/>
            <w:vAlign w:val="center"/>
            <w:hideMark/>
          </w:tcPr>
          <w:p w14:paraId="16B0E0FE"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-7,40%</w:t>
            </w:r>
          </w:p>
        </w:tc>
      </w:tr>
      <w:tr w:rsidR="00AA597B" w:rsidRPr="00943699" w14:paraId="5537B9C2" w14:textId="77777777" w:rsidTr="00943699">
        <w:trPr>
          <w:trHeight w:val="297"/>
        </w:trPr>
        <w:tc>
          <w:tcPr>
            <w:tcW w:w="4327" w:type="dxa"/>
            <w:vAlign w:val="center"/>
            <w:hideMark/>
          </w:tcPr>
          <w:p w14:paraId="0F168888" w14:textId="13937EB1"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943699">
              <w:rPr>
                <w:rFonts w:ascii="Times New Roman" w:eastAsia="Times New Roman" w:hAnsi="Times New Roman" w:cs="Times New Roman"/>
                <w:color w:val="000000" w:themeColor="text1"/>
                <w:kern w:val="0"/>
                <w:sz w:val="22"/>
                <w:szCs w:val="22"/>
                <w:lang w:val="es-PE" w:eastAsia="es-AR"/>
                <w14:ligatures w14:val="none"/>
              </w:rPr>
              <w:t>Países Bajos</w:t>
            </w:r>
          </w:p>
        </w:tc>
        <w:tc>
          <w:tcPr>
            <w:tcW w:w="4327" w:type="dxa"/>
            <w:vAlign w:val="center"/>
            <w:hideMark/>
          </w:tcPr>
          <w:p w14:paraId="6E809096"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-8,80%</w:t>
            </w:r>
          </w:p>
        </w:tc>
      </w:tr>
      <w:tr w:rsidR="00AA597B" w:rsidRPr="00943699" w14:paraId="043CDD25" w14:textId="77777777" w:rsidTr="00943699">
        <w:trPr>
          <w:trHeight w:val="297"/>
        </w:trPr>
        <w:tc>
          <w:tcPr>
            <w:tcW w:w="4327" w:type="dxa"/>
            <w:vAlign w:val="center"/>
            <w:hideMark/>
          </w:tcPr>
          <w:p w14:paraId="55DE3DA3" w14:textId="0E83C12F"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943699">
              <w:rPr>
                <w:rFonts w:ascii="Times New Roman" w:eastAsia="Times New Roman" w:hAnsi="Times New Roman" w:cs="Times New Roman"/>
                <w:color w:val="000000" w:themeColor="text1"/>
                <w:kern w:val="0"/>
                <w:sz w:val="22"/>
                <w:szCs w:val="22"/>
                <w:lang w:eastAsia="es-AR"/>
                <w14:ligatures w14:val="none"/>
              </w:rPr>
              <w:t>España</w:t>
            </w:r>
          </w:p>
        </w:tc>
        <w:tc>
          <w:tcPr>
            <w:tcW w:w="4327" w:type="dxa"/>
            <w:vAlign w:val="center"/>
            <w:hideMark/>
          </w:tcPr>
          <w:p w14:paraId="49EF8136"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-9,10%</w:t>
            </w:r>
          </w:p>
        </w:tc>
      </w:tr>
      <w:tr w:rsidR="00AA597B" w:rsidRPr="00943699" w14:paraId="198513A1" w14:textId="77777777" w:rsidTr="00943699">
        <w:trPr>
          <w:trHeight w:val="297"/>
        </w:trPr>
        <w:tc>
          <w:tcPr>
            <w:tcW w:w="4327" w:type="dxa"/>
            <w:vAlign w:val="center"/>
            <w:hideMark/>
          </w:tcPr>
          <w:p w14:paraId="2DFC96D4" w14:textId="2B9C7E4C"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Franc</w:t>
            </w:r>
            <w:r w:rsidRPr="00943699">
              <w:rPr>
                <w:rFonts w:ascii="Times New Roman" w:eastAsia="Times New Roman" w:hAnsi="Times New Roman" w:cs="Times New Roman"/>
                <w:color w:val="000000" w:themeColor="text1"/>
                <w:kern w:val="0"/>
                <w:sz w:val="22"/>
                <w:szCs w:val="22"/>
                <w:lang w:val="es-PE" w:eastAsia="es-AR"/>
                <w14:ligatures w14:val="none"/>
              </w:rPr>
              <w:t>ia</w:t>
            </w:r>
          </w:p>
        </w:tc>
        <w:tc>
          <w:tcPr>
            <w:tcW w:w="4327" w:type="dxa"/>
            <w:vAlign w:val="center"/>
            <w:hideMark/>
          </w:tcPr>
          <w:p w14:paraId="4E331A4E"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-9,70%</w:t>
            </w:r>
          </w:p>
        </w:tc>
      </w:tr>
      <w:tr w:rsidR="00AA597B" w:rsidRPr="00943699" w14:paraId="382E5FF2" w14:textId="77777777" w:rsidTr="00943699">
        <w:trPr>
          <w:trHeight w:val="297"/>
        </w:trPr>
        <w:tc>
          <w:tcPr>
            <w:tcW w:w="4327" w:type="dxa"/>
            <w:vAlign w:val="center"/>
            <w:hideMark/>
          </w:tcPr>
          <w:p w14:paraId="214ED38B" w14:textId="6EDDA51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943699">
              <w:rPr>
                <w:rFonts w:ascii="Times New Roman" w:eastAsia="Times New Roman" w:hAnsi="Times New Roman" w:cs="Times New Roman"/>
                <w:color w:val="000000" w:themeColor="text1"/>
                <w:kern w:val="0"/>
                <w:sz w:val="22"/>
                <w:szCs w:val="22"/>
                <w:lang w:val="es-PE" w:eastAsia="es-AR"/>
                <w14:ligatures w14:val="none"/>
              </w:rPr>
              <w:t>Reino Unido</w:t>
            </w:r>
          </w:p>
        </w:tc>
        <w:tc>
          <w:tcPr>
            <w:tcW w:w="4327" w:type="dxa"/>
            <w:vAlign w:val="center"/>
            <w:hideMark/>
          </w:tcPr>
          <w:p w14:paraId="68163CFB"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-9,80%</w:t>
            </w:r>
          </w:p>
        </w:tc>
      </w:tr>
      <w:tr w:rsidR="00AA597B" w:rsidRPr="00943699" w14:paraId="127428FD" w14:textId="77777777" w:rsidTr="00943699">
        <w:trPr>
          <w:trHeight w:val="297"/>
        </w:trPr>
        <w:tc>
          <w:tcPr>
            <w:tcW w:w="4327" w:type="dxa"/>
            <w:vAlign w:val="center"/>
            <w:hideMark/>
          </w:tcPr>
          <w:p w14:paraId="66239CEE" w14:textId="087FCE5F"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943699">
              <w:rPr>
                <w:rFonts w:ascii="Times New Roman" w:eastAsia="Times New Roman" w:hAnsi="Times New Roman" w:cs="Times New Roman"/>
                <w:color w:val="000000" w:themeColor="text1"/>
                <w:kern w:val="0"/>
                <w:sz w:val="22"/>
                <w:szCs w:val="22"/>
                <w:lang w:val="es-PE" w:eastAsia="es-AR"/>
                <w14:ligatures w14:val="none"/>
              </w:rPr>
              <w:t>Alemania</w:t>
            </w:r>
          </w:p>
        </w:tc>
        <w:tc>
          <w:tcPr>
            <w:tcW w:w="4327" w:type="dxa"/>
            <w:vAlign w:val="center"/>
            <w:hideMark/>
          </w:tcPr>
          <w:p w14:paraId="7F484461"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-10,30%</w:t>
            </w:r>
          </w:p>
        </w:tc>
      </w:tr>
      <w:tr w:rsidR="00AA597B" w:rsidRPr="00943699" w14:paraId="4AC1033C" w14:textId="77777777" w:rsidTr="00943699">
        <w:trPr>
          <w:trHeight w:val="297"/>
        </w:trPr>
        <w:tc>
          <w:tcPr>
            <w:tcW w:w="4327" w:type="dxa"/>
            <w:vAlign w:val="center"/>
            <w:hideMark/>
          </w:tcPr>
          <w:p w14:paraId="0D552D2F" w14:textId="6C775125"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Ir</w:t>
            </w:r>
            <w:r w:rsidRPr="00943699">
              <w:rPr>
                <w:rFonts w:ascii="Times New Roman" w:eastAsia="Times New Roman" w:hAnsi="Times New Roman" w:cs="Times New Roman"/>
                <w:color w:val="000000" w:themeColor="text1"/>
                <w:kern w:val="0"/>
                <w:sz w:val="22"/>
                <w:szCs w:val="22"/>
                <w:lang w:val="es-PE" w:eastAsia="es-AR"/>
                <w14:ligatures w14:val="none"/>
              </w:rPr>
              <w:t>landa</w:t>
            </w:r>
          </w:p>
        </w:tc>
        <w:tc>
          <w:tcPr>
            <w:tcW w:w="4327" w:type="dxa"/>
            <w:vAlign w:val="center"/>
            <w:hideMark/>
          </w:tcPr>
          <w:p w14:paraId="17B30B31"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-12,00%</w:t>
            </w:r>
          </w:p>
        </w:tc>
      </w:tr>
      <w:tr w:rsidR="00AA597B" w:rsidRPr="00943699" w14:paraId="327973EE" w14:textId="77777777" w:rsidTr="00943699">
        <w:trPr>
          <w:trHeight w:val="297"/>
        </w:trPr>
        <w:tc>
          <w:tcPr>
            <w:tcW w:w="4327" w:type="dxa"/>
            <w:vAlign w:val="center"/>
            <w:hideMark/>
          </w:tcPr>
          <w:p w14:paraId="69A5E39F" w14:textId="05621B66"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943699">
              <w:rPr>
                <w:rFonts w:ascii="Times New Roman" w:eastAsia="Times New Roman" w:hAnsi="Times New Roman" w:cs="Times New Roman"/>
                <w:color w:val="000000" w:themeColor="text1"/>
                <w:kern w:val="0"/>
                <w:sz w:val="22"/>
                <w:szCs w:val="22"/>
                <w:lang w:val="es-PE" w:eastAsia="es-AR"/>
                <w14:ligatures w14:val="none"/>
              </w:rPr>
              <w:t>Corea del Sur</w:t>
            </w:r>
          </w:p>
        </w:tc>
        <w:tc>
          <w:tcPr>
            <w:tcW w:w="4327" w:type="dxa"/>
            <w:vAlign w:val="center"/>
            <w:hideMark/>
          </w:tcPr>
          <w:p w14:paraId="1C1A27E6"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-13,10%</w:t>
            </w:r>
          </w:p>
        </w:tc>
      </w:tr>
      <w:tr w:rsidR="00AA597B" w:rsidRPr="00943699" w14:paraId="0A4B2AAA" w14:textId="77777777" w:rsidTr="00943699">
        <w:trPr>
          <w:trHeight w:val="297"/>
        </w:trPr>
        <w:tc>
          <w:tcPr>
            <w:tcW w:w="4327" w:type="dxa"/>
            <w:vAlign w:val="center"/>
            <w:hideMark/>
          </w:tcPr>
          <w:p w14:paraId="78612EF9" w14:textId="1E90B458"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943699">
              <w:rPr>
                <w:rFonts w:ascii="Times New Roman" w:eastAsia="Times New Roman" w:hAnsi="Times New Roman" w:cs="Times New Roman"/>
                <w:color w:val="000000" w:themeColor="text1"/>
                <w:kern w:val="0"/>
                <w:sz w:val="22"/>
                <w:szCs w:val="22"/>
                <w:lang w:val="es-PE" w:eastAsia="es-AR"/>
                <w14:ligatures w14:val="none"/>
              </w:rPr>
              <w:t>Eslovenia</w:t>
            </w:r>
          </w:p>
        </w:tc>
        <w:tc>
          <w:tcPr>
            <w:tcW w:w="4327" w:type="dxa"/>
            <w:vAlign w:val="center"/>
            <w:hideMark/>
          </w:tcPr>
          <w:p w14:paraId="43540B88"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-13,40%</w:t>
            </w:r>
          </w:p>
        </w:tc>
      </w:tr>
      <w:tr w:rsidR="00AA597B" w:rsidRPr="00943699" w14:paraId="17126CA9" w14:textId="77777777" w:rsidTr="00943699">
        <w:trPr>
          <w:trHeight w:val="297"/>
        </w:trPr>
        <w:tc>
          <w:tcPr>
            <w:tcW w:w="4327" w:type="dxa"/>
            <w:vAlign w:val="center"/>
            <w:hideMark/>
          </w:tcPr>
          <w:p w14:paraId="00B06F76"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Serbia</w:t>
            </w:r>
          </w:p>
        </w:tc>
        <w:tc>
          <w:tcPr>
            <w:tcW w:w="4327" w:type="dxa"/>
            <w:vAlign w:val="center"/>
            <w:hideMark/>
          </w:tcPr>
          <w:p w14:paraId="0BB0C216"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-14,10%</w:t>
            </w:r>
          </w:p>
        </w:tc>
      </w:tr>
      <w:tr w:rsidR="00AA597B" w:rsidRPr="00943699" w14:paraId="28208298" w14:textId="77777777" w:rsidTr="00943699">
        <w:trPr>
          <w:trHeight w:val="297"/>
        </w:trPr>
        <w:tc>
          <w:tcPr>
            <w:tcW w:w="4327" w:type="dxa"/>
            <w:vAlign w:val="center"/>
            <w:hideMark/>
          </w:tcPr>
          <w:p w14:paraId="73569CC4" w14:textId="1D877BCF"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Pol</w:t>
            </w:r>
            <w:r w:rsidRPr="00943699">
              <w:rPr>
                <w:rFonts w:ascii="Times New Roman" w:eastAsia="Times New Roman" w:hAnsi="Times New Roman" w:cs="Times New Roman"/>
                <w:color w:val="000000" w:themeColor="text1"/>
                <w:kern w:val="0"/>
                <w:sz w:val="22"/>
                <w:szCs w:val="22"/>
                <w:lang w:val="es-PE" w:eastAsia="es-AR"/>
                <w14:ligatures w14:val="none"/>
              </w:rPr>
              <w:t>onia</w:t>
            </w:r>
          </w:p>
        </w:tc>
        <w:tc>
          <w:tcPr>
            <w:tcW w:w="4327" w:type="dxa"/>
            <w:vAlign w:val="center"/>
            <w:hideMark/>
          </w:tcPr>
          <w:p w14:paraId="5CC90DBA"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-14,20%</w:t>
            </w:r>
          </w:p>
        </w:tc>
      </w:tr>
      <w:tr w:rsidR="00AA597B" w:rsidRPr="00943699" w14:paraId="79202B73" w14:textId="77777777" w:rsidTr="00943699">
        <w:trPr>
          <w:trHeight w:val="297"/>
        </w:trPr>
        <w:tc>
          <w:tcPr>
            <w:tcW w:w="4327" w:type="dxa"/>
            <w:vAlign w:val="center"/>
            <w:hideMark/>
          </w:tcPr>
          <w:p w14:paraId="023EDBE3" w14:textId="60F32C56"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943699">
              <w:rPr>
                <w:rFonts w:ascii="Times New Roman" w:eastAsia="Times New Roman" w:hAnsi="Times New Roman" w:cs="Times New Roman"/>
                <w:color w:val="000000" w:themeColor="text1"/>
                <w:kern w:val="0"/>
                <w:sz w:val="22"/>
                <w:szCs w:val="22"/>
                <w:lang w:val="es-PE" w:eastAsia="es-AR"/>
                <w14:ligatures w14:val="none"/>
              </w:rPr>
              <w:t>Eslovaquia</w:t>
            </w:r>
          </w:p>
        </w:tc>
        <w:tc>
          <w:tcPr>
            <w:tcW w:w="4327" w:type="dxa"/>
            <w:vAlign w:val="center"/>
            <w:hideMark/>
          </w:tcPr>
          <w:p w14:paraId="40863EB3"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-14,30%</w:t>
            </w:r>
          </w:p>
        </w:tc>
      </w:tr>
      <w:tr w:rsidR="00AA597B" w:rsidRPr="00943699" w14:paraId="2879620A" w14:textId="77777777" w:rsidTr="00943699">
        <w:trPr>
          <w:trHeight w:val="297"/>
        </w:trPr>
        <w:tc>
          <w:tcPr>
            <w:tcW w:w="4327" w:type="dxa"/>
            <w:vAlign w:val="center"/>
            <w:hideMark/>
          </w:tcPr>
          <w:p w14:paraId="622FC420" w14:textId="5E12E16C"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Gre</w:t>
            </w:r>
            <w:r w:rsidRPr="00943699">
              <w:rPr>
                <w:rFonts w:ascii="Times New Roman" w:eastAsia="Times New Roman" w:hAnsi="Times New Roman" w:cs="Times New Roman"/>
                <w:color w:val="000000" w:themeColor="text1"/>
                <w:kern w:val="0"/>
                <w:sz w:val="22"/>
                <w:szCs w:val="22"/>
                <w:lang w:val="es-PE" w:eastAsia="es-AR"/>
                <w14:ligatures w14:val="none"/>
              </w:rPr>
              <w:t>cia</w:t>
            </w:r>
          </w:p>
        </w:tc>
        <w:tc>
          <w:tcPr>
            <w:tcW w:w="4327" w:type="dxa"/>
            <w:vAlign w:val="center"/>
            <w:hideMark/>
          </w:tcPr>
          <w:p w14:paraId="5D83E873"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-14,40%</w:t>
            </w:r>
          </w:p>
        </w:tc>
      </w:tr>
      <w:tr w:rsidR="00AA597B" w:rsidRPr="00943699" w14:paraId="457FFBA6" w14:textId="77777777" w:rsidTr="00943699">
        <w:trPr>
          <w:trHeight w:val="297"/>
        </w:trPr>
        <w:tc>
          <w:tcPr>
            <w:tcW w:w="4327" w:type="dxa"/>
            <w:vAlign w:val="center"/>
            <w:hideMark/>
          </w:tcPr>
          <w:p w14:paraId="53B2E070"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China</w:t>
            </w:r>
          </w:p>
        </w:tc>
        <w:tc>
          <w:tcPr>
            <w:tcW w:w="4327" w:type="dxa"/>
            <w:vAlign w:val="center"/>
            <w:hideMark/>
          </w:tcPr>
          <w:p w14:paraId="10591B7B"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-14,50%</w:t>
            </w:r>
          </w:p>
        </w:tc>
      </w:tr>
      <w:tr w:rsidR="00AA597B" w:rsidRPr="00943699" w14:paraId="249BD5CA" w14:textId="77777777" w:rsidTr="00943699">
        <w:trPr>
          <w:trHeight w:val="297"/>
        </w:trPr>
        <w:tc>
          <w:tcPr>
            <w:tcW w:w="4327" w:type="dxa"/>
            <w:shd w:val="clear" w:color="auto" w:fill="45B0E1" w:themeFill="accent1" w:themeFillTint="99"/>
            <w:vAlign w:val="center"/>
            <w:hideMark/>
          </w:tcPr>
          <w:p w14:paraId="59E5F176" w14:textId="77777777" w:rsidR="00AA597B" w:rsidRPr="00AA597B" w:rsidRDefault="00AA597B" w:rsidP="0009790B">
            <w:pPr>
              <w:spacing w:before="100" w:beforeAutospacing="1" w:after="100" w:afterAutospacing="1"/>
              <w:jc w:val="center"/>
              <w:rPr>
                <w:rFonts w:ascii="Times New Roman" w:eastAsia="Times New Roman" w:hAnsi="Times New Roman" w:cs="Times New Roman"/>
                <w:b/>
                <w:bCs/>
                <w:color w:val="000000" w:themeColor="text1"/>
                <w:kern w:val="0"/>
                <w:sz w:val="22"/>
                <w:szCs w:val="22"/>
                <w:lang w:val="es-PE" w:eastAsia="es-AR"/>
                <w14:ligatures w14:val="none"/>
              </w:rPr>
            </w:pPr>
            <w:r w:rsidRPr="00AA597B">
              <w:rPr>
                <w:rFonts w:ascii="Times New Roman" w:eastAsia="Times New Roman" w:hAnsi="Times New Roman" w:cs="Times New Roman"/>
                <w:b/>
                <w:bCs/>
                <w:color w:val="000000" w:themeColor="text1"/>
                <w:kern w:val="0"/>
                <w:sz w:val="22"/>
                <w:szCs w:val="22"/>
                <w:lang w:val="es-PE" w:eastAsia="es-AR"/>
                <w14:ligatures w14:val="none"/>
              </w:rPr>
              <w:t>Argentina</w:t>
            </w:r>
          </w:p>
        </w:tc>
        <w:tc>
          <w:tcPr>
            <w:tcW w:w="4327" w:type="dxa"/>
            <w:shd w:val="clear" w:color="auto" w:fill="45B0E1" w:themeFill="accent1" w:themeFillTint="99"/>
            <w:vAlign w:val="center"/>
            <w:hideMark/>
          </w:tcPr>
          <w:p w14:paraId="656D13C2" w14:textId="77777777" w:rsidR="00AA597B" w:rsidRPr="00AA597B" w:rsidRDefault="00AA597B" w:rsidP="0009790B">
            <w:pPr>
              <w:spacing w:before="100" w:beforeAutospacing="1" w:after="100" w:afterAutospacing="1"/>
              <w:jc w:val="center"/>
              <w:rPr>
                <w:rFonts w:ascii="Times New Roman" w:eastAsia="Times New Roman" w:hAnsi="Times New Roman" w:cs="Times New Roman"/>
                <w:b/>
                <w:bCs/>
                <w:color w:val="000000" w:themeColor="text1"/>
                <w:kern w:val="0"/>
                <w:sz w:val="22"/>
                <w:szCs w:val="22"/>
                <w:lang w:val="es-PE" w:eastAsia="es-AR"/>
                <w14:ligatures w14:val="none"/>
              </w:rPr>
            </w:pPr>
            <w:r w:rsidRPr="00AA597B">
              <w:rPr>
                <w:rFonts w:ascii="Times New Roman" w:eastAsia="Times New Roman" w:hAnsi="Times New Roman" w:cs="Times New Roman"/>
                <w:b/>
                <w:bCs/>
                <w:color w:val="000000" w:themeColor="text1"/>
                <w:kern w:val="0"/>
                <w:sz w:val="22"/>
                <w:szCs w:val="22"/>
                <w:lang w:val="es-PE" w:eastAsia="es-AR"/>
                <w14:ligatures w14:val="none"/>
              </w:rPr>
              <w:t>-14,50%</w:t>
            </w:r>
          </w:p>
        </w:tc>
      </w:tr>
      <w:tr w:rsidR="00AA597B" w:rsidRPr="00943699" w14:paraId="2EE8FAE0" w14:textId="77777777" w:rsidTr="00943699">
        <w:trPr>
          <w:trHeight w:val="297"/>
        </w:trPr>
        <w:tc>
          <w:tcPr>
            <w:tcW w:w="4327" w:type="dxa"/>
            <w:vAlign w:val="center"/>
            <w:hideMark/>
          </w:tcPr>
          <w:p w14:paraId="096577D5" w14:textId="65085E7F"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lastRenderedPageBreak/>
              <w:t>Croa</w:t>
            </w:r>
            <w:r w:rsidRPr="00943699">
              <w:rPr>
                <w:rFonts w:ascii="Times New Roman" w:eastAsia="Times New Roman" w:hAnsi="Times New Roman" w:cs="Times New Roman"/>
                <w:color w:val="000000" w:themeColor="text1"/>
                <w:kern w:val="0"/>
                <w:sz w:val="22"/>
                <w:szCs w:val="22"/>
                <w:lang w:val="es-PE" w:eastAsia="es-AR"/>
                <w14:ligatures w14:val="none"/>
              </w:rPr>
              <w:t>cia</w:t>
            </w:r>
          </w:p>
        </w:tc>
        <w:tc>
          <w:tcPr>
            <w:tcW w:w="4327" w:type="dxa"/>
            <w:vAlign w:val="center"/>
            <w:hideMark/>
          </w:tcPr>
          <w:p w14:paraId="14B2EADE"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-15,10%</w:t>
            </w:r>
          </w:p>
        </w:tc>
      </w:tr>
      <w:tr w:rsidR="00AA597B" w:rsidRPr="00943699" w14:paraId="0D7E4042" w14:textId="77777777" w:rsidTr="00943699">
        <w:trPr>
          <w:trHeight w:val="297"/>
        </w:trPr>
        <w:tc>
          <w:tcPr>
            <w:tcW w:w="4327" w:type="dxa"/>
            <w:vAlign w:val="center"/>
            <w:hideMark/>
          </w:tcPr>
          <w:p w14:paraId="3AED2E01"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Chile</w:t>
            </w:r>
          </w:p>
        </w:tc>
        <w:tc>
          <w:tcPr>
            <w:tcW w:w="4327" w:type="dxa"/>
            <w:vAlign w:val="center"/>
            <w:hideMark/>
          </w:tcPr>
          <w:p w14:paraId="380AB2E8"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-16,10%</w:t>
            </w:r>
          </w:p>
        </w:tc>
      </w:tr>
      <w:tr w:rsidR="00AA597B" w:rsidRPr="00943699" w14:paraId="4D3CF6EA" w14:textId="77777777" w:rsidTr="00943699">
        <w:trPr>
          <w:trHeight w:val="297"/>
        </w:trPr>
        <w:tc>
          <w:tcPr>
            <w:tcW w:w="4327" w:type="dxa"/>
            <w:vAlign w:val="center"/>
            <w:hideMark/>
          </w:tcPr>
          <w:p w14:paraId="3F73CC83" w14:textId="1D24CD1E"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Ital</w:t>
            </w:r>
            <w:r w:rsidRPr="00943699">
              <w:rPr>
                <w:rFonts w:ascii="Times New Roman" w:eastAsia="Times New Roman" w:hAnsi="Times New Roman" w:cs="Times New Roman"/>
                <w:color w:val="000000" w:themeColor="text1"/>
                <w:kern w:val="0"/>
                <w:sz w:val="22"/>
                <w:szCs w:val="22"/>
                <w:lang w:val="es-PE" w:eastAsia="es-AR"/>
                <w14:ligatures w14:val="none"/>
              </w:rPr>
              <w:t>ia</w:t>
            </w:r>
          </w:p>
        </w:tc>
        <w:tc>
          <w:tcPr>
            <w:tcW w:w="4327" w:type="dxa"/>
            <w:vAlign w:val="center"/>
            <w:hideMark/>
          </w:tcPr>
          <w:p w14:paraId="5879A1B1"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-17,10%</w:t>
            </w:r>
          </w:p>
        </w:tc>
      </w:tr>
      <w:tr w:rsidR="00AA597B" w:rsidRPr="00943699" w14:paraId="4859730E" w14:textId="77777777" w:rsidTr="00943699">
        <w:trPr>
          <w:trHeight w:val="297"/>
        </w:trPr>
        <w:tc>
          <w:tcPr>
            <w:tcW w:w="4327" w:type="dxa"/>
            <w:vAlign w:val="center"/>
            <w:hideMark/>
          </w:tcPr>
          <w:p w14:paraId="36D95343"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India</w:t>
            </w:r>
          </w:p>
        </w:tc>
        <w:tc>
          <w:tcPr>
            <w:tcW w:w="4327" w:type="dxa"/>
            <w:vAlign w:val="center"/>
            <w:hideMark/>
          </w:tcPr>
          <w:p w14:paraId="4A5C0C87"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-17,30%</w:t>
            </w:r>
          </w:p>
        </w:tc>
      </w:tr>
      <w:tr w:rsidR="00AA597B" w:rsidRPr="00943699" w14:paraId="220815E6" w14:textId="77777777" w:rsidTr="00943699">
        <w:trPr>
          <w:trHeight w:val="297"/>
        </w:trPr>
        <w:tc>
          <w:tcPr>
            <w:tcW w:w="4327" w:type="dxa"/>
            <w:vAlign w:val="center"/>
            <w:hideMark/>
          </w:tcPr>
          <w:p w14:paraId="2A9FBC06" w14:textId="23C06C23"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T</w:t>
            </w:r>
            <w:r w:rsidRPr="00943699">
              <w:rPr>
                <w:rFonts w:ascii="Times New Roman" w:eastAsia="Times New Roman" w:hAnsi="Times New Roman" w:cs="Times New Roman"/>
                <w:color w:val="000000" w:themeColor="text1"/>
                <w:kern w:val="0"/>
                <w:sz w:val="22"/>
                <w:szCs w:val="22"/>
                <w:lang w:val="es-PE" w:eastAsia="es-AR"/>
                <w14:ligatures w14:val="none"/>
              </w:rPr>
              <w:t>ailandia</w:t>
            </w:r>
          </w:p>
        </w:tc>
        <w:tc>
          <w:tcPr>
            <w:tcW w:w="4327" w:type="dxa"/>
            <w:vAlign w:val="center"/>
            <w:hideMark/>
          </w:tcPr>
          <w:p w14:paraId="4CFD0726"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-17,70%</w:t>
            </w:r>
          </w:p>
        </w:tc>
      </w:tr>
      <w:tr w:rsidR="00AA597B" w:rsidRPr="00943699" w14:paraId="170A72CC" w14:textId="77777777" w:rsidTr="00943699">
        <w:trPr>
          <w:trHeight w:val="297"/>
        </w:trPr>
        <w:tc>
          <w:tcPr>
            <w:tcW w:w="4327" w:type="dxa"/>
            <w:vAlign w:val="center"/>
            <w:hideMark/>
          </w:tcPr>
          <w:p w14:paraId="2B3CCAE8" w14:textId="52E821DB"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M</w:t>
            </w:r>
            <w:r w:rsidRPr="00943699">
              <w:rPr>
                <w:rFonts w:ascii="Times New Roman" w:eastAsia="Times New Roman" w:hAnsi="Times New Roman" w:cs="Times New Roman"/>
                <w:color w:val="000000" w:themeColor="text1"/>
                <w:kern w:val="0"/>
                <w:sz w:val="22"/>
                <w:szCs w:val="22"/>
                <w:lang w:val="es-PE" w:eastAsia="es-AR"/>
                <w14:ligatures w14:val="none"/>
              </w:rPr>
              <w:t>é</w:t>
            </w:r>
            <w:r w:rsidRPr="00AA597B">
              <w:rPr>
                <w:rFonts w:ascii="Times New Roman" w:eastAsia="Times New Roman" w:hAnsi="Times New Roman" w:cs="Times New Roman"/>
                <w:color w:val="000000" w:themeColor="text1"/>
                <w:kern w:val="0"/>
                <w:sz w:val="22"/>
                <w:szCs w:val="22"/>
                <w:lang w:val="es-PE" w:eastAsia="es-AR"/>
                <w14:ligatures w14:val="none"/>
              </w:rPr>
              <w:t>xico</w:t>
            </w:r>
          </w:p>
        </w:tc>
        <w:tc>
          <w:tcPr>
            <w:tcW w:w="4327" w:type="dxa"/>
            <w:vAlign w:val="center"/>
            <w:hideMark/>
          </w:tcPr>
          <w:p w14:paraId="56410284"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-18,40%</w:t>
            </w:r>
          </w:p>
        </w:tc>
      </w:tr>
      <w:tr w:rsidR="00AA597B" w:rsidRPr="00943699" w14:paraId="01ECCCD2" w14:textId="77777777" w:rsidTr="00943699">
        <w:trPr>
          <w:trHeight w:val="297"/>
        </w:trPr>
        <w:tc>
          <w:tcPr>
            <w:tcW w:w="4327" w:type="dxa"/>
            <w:vAlign w:val="center"/>
            <w:hideMark/>
          </w:tcPr>
          <w:p w14:paraId="06E2C4B8" w14:textId="5BF028FD"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Bra</w:t>
            </w:r>
            <w:r w:rsidRPr="00943699">
              <w:rPr>
                <w:rFonts w:ascii="Times New Roman" w:eastAsia="Times New Roman" w:hAnsi="Times New Roman" w:cs="Times New Roman"/>
                <w:color w:val="000000" w:themeColor="text1"/>
                <w:kern w:val="0"/>
                <w:sz w:val="22"/>
                <w:szCs w:val="22"/>
                <w:lang w:val="es-PE" w:eastAsia="es-AR"/>
                <w14:ligatures w14:val="none"/>
              </w:rPr>
              <w:t>s</w:t>
            </w:r>
            <w:r w:rsidRPr="00AA597B">
              <w:rPr>
                <w:rFonts w:ascii="Times New Roman" w:eastAsia="Times New Roman" w:hAnsi="Times New Roman" w:cs="Times New Roman"/>
                <w:color w:val="000000" w:themeColor="text1"/>
                <w:kern w:val="0"/>
                <w:sz w:val="22"/>
                <w:szCs w:val="22"/>
                <w:lang w:val="es-PE" w:eastAsia="es-AR"/>
                <w14:ligatures w14:val="none"/>
              </w:rPr>
              <w:t>il</w:t>
            </w:r>
          </w:p>
        </w:tc>
        <w:tc>
          <w:tcPr>
            <w:tcW w:w="4327" w:type="dxa"/>
            <w:vAlign w:val="center"/>
            <w:hideMark/>
          </w:tcPr>
          <w:p w14:paraId="44A17AB2"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-19,90%</w:t>
            </w:r>
          </w:p>
        </w:tc>
      </w:tr>
      <w:tr w:rsidR="00AA597B" w:rsidRPr="00943699" w14:paraId="64C4757D" w14:textId="77777777" w:rsidTr="00943699">
        <w:trPr>
          <w:trHeight w:val="297"/>
        </w:trPr>
        <w:tc>
          <w:tcPr>
            <w:tcW w:w="4327" w:type="dxa"/>
            <w:vAlign w:val="center"/>
            <w:hideMark/>
          </w:tcPr>
          <w:p w14:paraId="747A32B5" w14:textId="297A5EE5"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M</w:t>
            </w:r>
            <w:r w:rsidRPr="00943699">
              <w:rPr>
                <w:rFonts w:ascii="Times New Roman" w:eastAsia="Times New Roman" w:hAnsi="Times New Roman" w:cs="Times New Roman"/>
                <w:color w:val="000000" w:themeColor="text1"/>
                <w:kern w:val="0"/>
                <w:sz w:val="22"/>
                <w:szCs w:val="22"/>
                <w:lang w:val="es-PE" w:eastAsia="es-AR"/>
                <w14:ligatures w14:val="none"/>
              </w:rPr>
              <w:t>arruecos</w:t>
            </w:r>
          </w:p>
        </w:tc>
        <w:tc>
          <w:tcPr>
            <w:tcW w:w="4327" w:type="dxa"/>
            <w:vAlign w:val="center"/>
            <w:hideMark/>
          </w:tcPr>
          <w:p w14:paraId="0EF84039"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-20,50%</w:t>
            </w:r>
          </w:p>
        </w:tc>
      </w:tr>
      <w:tr w:rsidR="00AA597B" w:rsidRPr="00943699" w14:paraId="06C11300" w14:textId="77777777" w:rsidTr="00943699">
        <w:trPr>
          <w:trHeight w:val="297"/>
        </w:trPr>
        <w:tc>
          <w:tcPr>
            <w:tcW w:w="4327" w:type="dxa"/>
            <w:vAlign w:val="center"/>
            <w:hideMark/>
          </w:tcPr>
          <w:p w14:paraId="5FDC31BF"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Paraguay</w:t>
            </w:r>
          </w:p>
        </w:tc>
        <w:tc>
          <w:tcPr>
            <w:tcW w:w="4327" w:type="dxa"/>
            <w:vAlign w:val="center"/>
            <w:hideMark/>
          </w:tcPr>
          <w:p w14:paraId="1D6D5776"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-20,80%</w:t>
            </w:r>
          </w:p>
        </w:tc>
      </w:tr>
      <w:tr w:rsidR="00AA597B" w:rsidRPr="00943699" w14:paraId="668D78EB" w14:textId="77777777" w:rsidTr="00943699">
        <w:trPr>
          <w:trHeight w:val="297"/>
        </w:trPr>
        <w:tc>
          <w:tcPr>
            <w:tcW w:w="4327" w:type="dxa"/>
            <w:vAlign w:val="center"/>
            <w:hideMark/>
          </w:tcPr>
          <w:p w14:paraId="3802A544" w14:textId="009302F5"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Ja</w:t>
            </w:r>
            <w:r w:rsidRPr="00943699">
              <w:rPr>
                <w:rFonts w:ascii="Times New Roman" w:eastAsia="Times New Roman" w:hAnsi="Times New Roman" w:cs="Times New Roman"/>
                <w:color w:val="000000" w:themeColor="text1"/>
                <w:kern w:val="0"/>
                <w:sz w:val="22"/>
                <w:szCs w:val="22"/>
                <w:lang w:val="es-PE" w:eastAsia="es-AR"/>
                <w14:ligatures w14:val="none"/>
              </w:rPr>
              <w:t>pón</w:t>
            </w:r>
          </w:p>
        </w:tc>
        <w:tc>
          <w:tcPr>
            <w:tcW w:w="4327" w:type="dxa"/>
            <w:vAlign w:val="center"/>
            <w:hideMark/>
          </w:tcPr>
          <w:p w14:paraId="588AF95E"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-21,10%</w:t>
            </w:r>
          </w:p>
        </w:tc>
      </w:tr>
      <w:tr w:rsidR="00AA597B" w:rsidRPr="00943699" w14:paraId="53A8327A" w14:textId="77777777" w:rsidTr="00943699">
        <w:trPr>
          <w:trHeight w:val="297"/>
        </w:trPr>
        <w:tc>
          <w:tcPr>
            <w:tcW w:w="4327" w:type="dxa"/>
            <w:vAlign w:val="center"/>
            <w:hideMark/>
          </w:tcPr>
          <w:p w14:paraId="5C64AD2E" w14:textId="4C14301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Per</w:t>
            </w:r>
            <w:r w:rsidRPr="00943699">
              <w:rPr>
                <w:rFonts w:ascii="Times New Roman" w:eastAsia="Times New Roman" w:hAnsi="Times New Roman" w:cs="Times New Roman"/>
                <w:color w:val="000000" w:themeColor="text1"/>
                <w:kern w:val="0"/>
                <w:sz w:val="22"/>
                <w:szCs w:val="22"/>
                <w:lang w:val="es-PE" w:eastAsia="es-AR"/>
                <w14:ligatures w14:val="none"/>
              </w:rPr>
              <w:t>ú</w:t>
            </w:r>
          </w:p>
        </w:tc>
        <w:tc>
          <w:tcPr>
            <w:tcW w:w="4327" w:type="dxa"/>
            <w:vAlign w:val="center"/>
            <w:hideMark/>
          </w:tcPr>
          <w:p w14:paraId="1D54A770"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-22,90%</w:t>
            </w:r>
          </w:p>
        </w:tc>
      </w:tr>
      <w:tr w:rsidR="00AA597B" w:rsidRPr="00943699" w14:paraId="08B01E0B" w14:textId="77777777" w:rsidTr="00943699">
        <w:trPr>
          <w:trHeight w:val="297"/>
        </w:trPr>
        <w:tc>
          <w:tcPr>
            <w:tcW w:w="4327" w:type="dxa"/>
            <w:vAlign w:val="center"/>
            <w:hideMark/>
          </w:tcPr>
          <w:p w14:paraId="76A55466" w14:textId="1769335E"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Tur</w:t>
            </w:r>
            <w:r w:rsidRPr="00943699">
              <w:rPr>
                <w:rFonts w:ascii="Times New Roman" w:eastAsia="Times New Roman" w:hAnsi="Times New Roman" w:cs="Times New Roman"/>
                <w:color w:val="000000" w:themeColor="text1"/>
                <w:kern w:val="0"/>
                <w:sz w:val="22"/>
                <w:szCs w:val="22"/>
                <w:lang w:val="es-PE" w:eastAsia="es-AR"/>
                <w14:ligatures w14:val="none"/>
              </w:rPr>
              <w:t>quía</w:t>
            </w:r>
          </w:p>
        </w:tc>
        <w:tc>
          <w:tcPr>
            <w:tcW w:w="4327" w:type="dxa"/>
            <w:vAlign w:val="center"/>
            <w:hideMark/>
          </w:tcPr>
          <w:p w14:paraId="3FA3C457"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-26,30%</w:t>
            </w:r>
          </w:p>
        </w:tc>
      </w:tr>
      <w:tr w:rsidR="00AA597B" w:rsidRPr="00943699" w14:paraId="612052AB" w14:textId="77777777" w:rsidTr="00943699">
        <w:trPr>
          <w:trHeight w:val="297"/>
        </w:trPr>
        <w:tc>
          <w:tcPr>
            <w:tcW w:w="4327" w:type="dxa"/>
            <w:vAlign w:val="center"/>
            <w:hideMark/>
          </w:tcPr>
          <w:p w14:paraId="677D36B4" w14:textId="13349258"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943699">
              <w:rPr>
                <w:rFonts w:ascii="Times New Roman" w:eastAsia="Times New Roman" w:hAnsi="Times New Roman" w:cs="Times New Roman"/>
                <w:color w:val="000000" w:themeColor="text1"/>
                <w:kern w:val="0"/>
                <w:sz w:val="22"/>
                <w:szCs w:val="22"/>
                <w:lang w:val="es-PE" w:eastAsia="es-AR"/>
                <w14:ligatures w14:val="none"/>
              </w:rPr>
              <w:t>Filipinas</w:t>
            </w:r>
          </w:p>
        </w:tc>
        <w:tc>
          <w:tcPr>
            <w:tcW w:w="4327" w:type="dxa"/>
            <w:vAlign w:val="center"/>
            <w:hideMark/>
          </w:tcPr>
          <w:p w14:paraId="49A885C2"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-28,00%</w:t>
            </w:r>
          </w:p>
        </w:tc>
      </w:tr>
      <w:tr w:rsidR="00AA597B" w:rsidRPr="00943699" w14:paraId="6D6DFFF8" w14:textId="77777777" w:rsidTr="00943699">
        <w:trPr>
          <w:trHeight w:val="297"/>
        </w:trPr>
        <w:tc>
          <w:tcPr>
            <w:tcW w:w="4327" w:type="dxa"/>
            <w:vAlign w:val="center"/>
            <w:hideMark/>
          </w:tcPr>
          <w:p w14:paraId="3010593E"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Vietnam</w:t>
            </w:r>
          </w:p>
        </w:tc>
        <w:tc>
          <w:tcPr>
            <w:tcW w:w="4327" w:type="dxa"/>
            <w:vAlign w:val="center"/>
            <w:hideMark/>
          </w:tcPr>
          <w:p w14:paraId="7E3C614F"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-28,1%</w:t>
            </w:r>
          </w:p>
        </w:tc>
      </w:tr>
      <w:tr w:rsidR="00AA597B" w:rsidRPr="00943699" w14:paraId="35430AF0" w14:textId="77777777" w:rsidTr="00943699">
        <w:trPr>
          <w:trHeight w:val="297"/>
        </w:trPr>
        <w:tc>
          <w:tcPr>
            <w:tcW w:w="4327" w:type="dxa"/>
            <w:vAlign w:val="center"/>
            <w:hideMark/>
          </w:tcPr>
          <w:p w14:paraId="3001B911"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Indonesia</w:t>
            </w:r>
          </w:p>
        </w:tc>
        <w:tc>
          <w:tcPr>
            <w:tcW w:w="4327" w:type="dxa"/>
            <w:vAlign w:val="center"/>
            <w:hideMark/>
          </w:tcPr>
          <w:p w14:paraId="4D259146"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-48,0%</w:t>
            </w:r>
          </w:p>
        </w:tc>
      </w:tr>
      <w:tr w:rsidR="00AA597B" w:rsidRPr="00943699" w14:paraId="22391AFF" w14:textId="77777777" w:rsidTr="00943699">
        <w:trPr>
          <w:trHeight w:val="297"/>
        </w:trPr>
        <w:tc>
          <w:tcPr>
            <w:tcW w:w="4327" w:type="dxa"/>
            <w:vAlign w:val="center"/>
            <w:hideMark/>
          </w:tcPr>
          <w:p w14:paraId="6807713A" w14:textId="5B1903F3"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Pakist</w:t>
            </w:r>
            <w:r w:rsidRPr="00943699">
              <w:rPr>
                <w:rFonts w:ascii="Times New Roman" w:eastAsia="Times New Roman" w:hAnsi="Times New Roman" w:cs="Times New Roman"/>
                <w:color w:val="000000" w:themeColor="text1"/>
                <w:kern w:val="0"/>
                <w:sz w:val="22"/>
                <w:szCs w:val="22"/>
                <w:lang w:val="es-PE" w:eastAsia="es-AR"/>
                <w14:ligatures w14:val="none"/>
              </w:rPr>
              <w:t>án</w:t>
            </w:r>
          </w:p>
        </w:tc>
        <w:tc>
          <w:tcPr>
            <w:tcW w:w="4327" w:type="dxa"/>
            <w:vAlign w:val="center"/>
            <w:hideMark/>
          </w:tcPr>
          <w:p w14:paraId="008FA853" w14:textId="77777777" w:rsidR="00AA597B" w:rsidRPr="00AA597B" w:rsidRDefault="00AA597B" w:rsidP="0009790B">
            <w:pPr>
              <w:spacing w:before="100" w:beforeAutospacing="1" w:after="100" w:afterAutospacing="1"/>
              <w:jc w:val="center"/>
              <w:rPr>
                <w:rFonts w:ascii="Times New Roman" w:eastAsia="Times New Roman" w:hAnsi="Times New Roman" w:cs="Times New Roman"/>
                <w:color w:val="000000" w:themeColor="text1"/>
                <w:kern w:val="0"/>
                <w:sz w:val="22"/>
                <w:szCs w:val="22"/>
                <w:lang w:val="es-PE" w:eastAsia="es-AR"/>
                <w14:ligatures w14:val="none"/>
              </w:rPr>
            </w:pPr>
            <w:r w:rsidRPr="00AA597B">
              <w:rPr>
                <w:rFonts w:ascii="Times New Roman" w:eastAsia="Times New Roman" w:hAnsi="Times New Roman" w:cs="Times New Roman"/>
                <w:color w:val="000000" w:themeColor="text1"/>
                <w:kern w:val="0"/>
                <w:sz w:val="22"/>
                <w:szCs w:val="22"/>
                <w:lang w:val="es-PE" w:eastAsia="es-AR"/>
                <w14:ligatures w14:val="none"/>
              </w:rPr>
              <w:t>-50,7%</w:t>
            </w:r>
          </w:p>
        </w:tc>
      </w:tr>
    </w:tbl>
    <w:p w14:paraId="2AF5698F" w14:textId="28077090" w:rsidR="0009790B" w:rsidRPr="0009790B" w:rsidRDefault="0009790B" w:rsidP="00943699">
      <w:pPr>
        <w:jc w:val="center"/>
        <w:rPr>
          <w:rFonts w:ascii="Times New Roman" w:eastAsia="Times New Roman" w:hAnsi="Times New Roman" w:cs="Times New Roman"/>
          <w:kern w:val="0"/>
          <w:sz w:val="20"/>
          <w:szCs w:val="20"/>
          <w:lang w:eastAsia="es-AR"/>
          <w14:ligatures w14:val="none"/>
        </w:rPr>
      </w:pPr>
      <w:r w:rsidRPr="0009790B">
        <w:rPr>
          <w:rFonts w:ascii="Times New Roman" w:eastAsia="Times New Roman" w:hAnsi="Times New Roman" w:cs="Times New Roman"/>
          <w:kern w:val="0"/>
          <w:sz w:val="20"/>
          <w:szCs w:val="20"/>
          <w:lang w:eastAsia="es-AR"/>
          <w14:ligatures w14:val="none"/>
        </w:rPr>
        <w:t>Encuesta Global de WIN. VOICES! en Argentina.</w:t>
      </w:r>
    </w:p>
    <w:p w14:paraId="6BD1D2A8" w14:textId="3B82FB74" w:rsidR="008334FF" w:rsidRPr="008334FF" w:rsidRDefault="008334FF" w:rsidP="0009790B">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s-AR"/>
          <w14:ligatures w14:val="none"/>
        </w:rPr>
      </w:pPr>
      <w:r w:rsidRPr="008334FF">
        <w:rPr>
          <w:rFonts w:ascii="Times New Roman" w:eastAsia="Times New Roman" w:hAnsi="Times New Roman" w:cs="Times New Roman"/>
          <w:b/>
          <w:bCs/>
          <w:kern w:val="0"/>
          <w:sz w:val="27"/>
          <w:szCs w:val="27"/>
          <w:lang w:eastAsia="es-AR"/>
          <w14:ligatures w14:val="none"/>
        </w:rPr>
        <w:t>Las percepciones de igualdad de género no se traducen en comportamiento doméstico</w:t>
      </w:r>
    </w:p>
    <w:p w14:paraId="6B8B68D8" w14:textId="5E38D0B3" w:rsidR="008334FF" w:rsidRPr="008334FF" w:rsidRDefault="008334FF" w:rsidP="0009790B">
      <w:pPr>
        <w:spacing w:before="100" w:beforeAutospacing="1" w:after="100" w:afterAutospacing="1" w:line="240" w:lineRule="auto"/>
        <w:jc w:val="both"/>
        <w:rPr>
          <w:rFonts w:ascii="Times New Roman" w:eastAsia="Times New Roman" w:hAnsi="Times New Roman" w:cs="Times New Roman"/>
          <w:kern w:val="0"/>
          <w:lang w:eastAsia="es-AR"/>
          <w14:ligatures w14:val="none"/>
        </w:rPr>
      </w:pPr>
      <w:r w:rsidRPr="008334FF">
        <w:rPr>
          <w:rFonts w:ascii="Times New Roman" w:eastAsia="Times New Roman" w:hAnsi="Times New Roman" w:cs="Times New Roman"/>
          <w:kern w:val="0"/>
          <w:lang w:eastAsia="es-AR"/>
          <w14:ligatures w14:val="none"/>
        </w:rPr>
        <w:t xml:space="preserve">A nivel mundial, las percepciones sobre la igualdad de género en el hogar han mejorado levemente en comparación con 2024, pero este cambio es impulsado en gran medida por los hombres, mientras que las mujeres siguen siendo menos optimistas. Las opiniones sobre la igualdad de género en el hogar y en la política han sido consistentes entre diferentes grupos etarios este año (variando solo un 1% en el ámbito doméstico y un 2% en </w:t>
      </w:r>
      <w:r w:rsidR="00673E14">
        <w:rPr>
          <w:rFonts w:ascii="Times New Roman" w:eastAsia="Times New Roman" w:hAnsi="Times New Roman" w:cs="Times New Roman"/>
          <w:kern w:val="0"/>
          <w:lang w:eastAsia="es-AR"/>
          <w14:ligatures w14:val="none"/>
        </w:rPr>
        <w:t xml:space="preserve">la </w:t>
      </w:r>
      <w:r w:rsidRPr="008334FF">
        <w:rPr>
          <w:rFonts w:ascii="Times New Roman" w:eastAsia="Times New Roman" w:hAnsi="Times New Roman" w:cs="Times New Roman"/>
          <w:kern w:val="0"/>
          <w:lang w:eastAsia="es-AR"/>
          <w14:ligatures w14:val="none"/>
        </w:rPr>
        <w:t>política en</w:t>
      </w:r>
      <w:r w:rsidR="00673E14">
        <w:rPr>
          <w:rFonts w:ascii="Times New Roman" w:eastAsia="Times New Roman" w:hAnsi="Times New Roman" w:cs="Times New Roman"/>
          <w:kern w:val="0"/>
          <w:lang w:eastAsia="es-AR"/>
          <w14:ligatures w14:val="none"/>
        </w:rPr>
        <w:t>tre</w:t>
      </w:r>
      <w:r w:rsidRPr="008334FF">
        <w:rPr>
          <w:rFonts w:ascii="Times New Roman" w:eastAsia="Times New Roman" w:hAnsi="Times New Roman" w:cs="Times New Roman"/>
          <w:kern w:val="0"/>
          <w:lang w:eastAsia="es-AR"/>
          <w14:ligatures w14:val="none"/>
        </w:rPr>
        <w:t xml:space="preserve"> personas de 18</w:t>
      </w:r>
      <w:r w:rsidR="00673E14">
        <w:rPr>
          <w:rFonts w:ascii="Times New Roman" w:eastAsia="Times New Roman" w:hAnsi="Times New Roman" w:cs="Times New Roman"/>
          <w:kern w:val="0"/>
          <w:lang w:eastAsia="es-AR"/>
          <w14:ligatures w14:val="none"/>
        </w:rPr>
        <w:t xml:space="preserve"> a 24 años y personas de</w:t>
      </w:r>
      <w:r w:rsidRPr="008334FF">
        <w:rPr>
          <w:rFonts w:ascii="Times New Roman" w:eastAsia="Times New Roman" w:hAnsi="Times New Roman" w:cs="Times New Roman"/>
          <w:kern w:val="0"/>
          <w:lang w:eastAsia="es-AR"/>
          <w14:ligatures w14:val="none"/>
        </w:rPr>
        <w:t xml:space="preserve"> 65 años</w:t>
      </w:r>
      <w:r w:rsidR="00673E14">
        <w:rPr>
          <w:rFonts w:ascii="Times New Roman" w:eastAsia="Times New Roman" w:hAnsi="Times New Roman" w:cs="Times New Roman"/>
          <w:kern w:val="0"/>
          <w:lang w:eastAsia="es-AR"/>
          <w14:ligatures w14:val="none"/>
        </w:rPr>
        <w:t xml:space="preserve"> y más</w:t>
      </w:r>
      <w:r w:rsidRPr="008334FF">
        <w:rPr>
          <w:rFonts w:ascii="Times New Roman" w:eastAsia="Times New Roman" w:hAnsi="Times New Roman" w:cs="Times New Roman"/>
          <w:kern w:val="0"/>
          <w:lang w:eastAsia="es-AR"/>
          <w14:ligatures w14:val="none"/>
        </w:rPr>
        <w:t>). Sin embargo, existe una correlación negativa entre la edad y la percepción de que la igualdad de género se ha logrado en el trabajo: el 63% de los jóvenes de 18 a 24 años cree que se ha alcanzado, en comparación con solo el 50% de los mayores de 65 años.</w:t>
      </w:r>
    </w:p>
    <w:p w14:paraId="5E42235F" w14:textId="5476B144" w:rsidR="008334FF" w:rsidRPr="008334FF" w:rsidRDefault="008334FF" w:rsidP="0009790B">
      <w:pPr>
        <w:spacing w:before="100" w:beforeAutospacing="1" w:after="100" w:afterAutospacing="1" w:line="240" w:lineRule="auto"/>
        <w:jc w:val="both"/>
        <w:rPr>
          <w:rFonts w:ascii="Times New Roman" w:eastAsia="Times New Roman" w:hAnsi="Times New Roman" w:cs="Times New Roman"/>
          <w:kern w:val="0"/>
          <w:lang w:eastAsia="es-AR"/>
          <w14:ligatures w14:val="none"/>
        </w:rPr>
      </w:pPr>
      <w:r w:rsidRPr="008334FF">
        <w:rPr>
          <w:rFonts w:ascii="Times New Roman" w:eastAsia="Times New Roman" w:hAnsi="Times New Roman" w:cs="Times New Roman"/>
          <w:kern w:val="0"/>
          <w:lang w:eastAsia="es-AR"/>
          <w14:ligatures w14:val="none"/>
        </w:rPr>
        <w:t>En términos generales</w:t>
      </w:r>
      <w:r w:rsidR="00034E88">
        <w:rPr>
          <w:rFonts w:ascii="Times New Roman" w:eastAsia="Times New Roman" w:hAnsi="Times New Roman" w:cs="Times New Roman"/>
          <w:kern w:val="0"/>
          <w:lang w:eastAsia="es-AR"/>
          <w14:ligatures w14:val="none"/>
        </w:rPr>
        <w:t xml:space="preserve"> a nivel global</w:t>
      </w:r>
      <w:r w:rsidRPr="008334FF">
        <w:rPr>
          <w:rFonts w:ascii="Times New Roman" w:eastAsia="Times New Roman" w:hAnsi="Times New Roman" w:cs="Times New Roman"/>
          <w:kern w:val="0"/>
          <w:lang w:eastAsia="es-AR"/>
          <w14:ligatures w14:val="none"/>
        </w:rPr>
        <w:t xml:space="preserve">, la percepción de igualdad </w:t>
      </w:r>
      <w:r w:rsidR="00000E20">
        <w:rPr>
          <w:rFonts w:ascii="Times New Roman" w:eastAsia="Times New Roman" w:hAnsi="Times New Roman" w:cs="Times New Roman"/>
          <w:kern w:val="0"/>
          <w:lang w:eastAsia="es-AR"/>
          <w14:ligatures w14:val="none"/>
        </w:rPr>
        <w:t xml:space="preserve">en el hogar </w:t>
      </w:r>
      <w:r w:rsidRPr="008334FF">
        <w:rPr>
          <w:rFonts w:ascii="Times New Roman" w:eastAsia="Times New Roman" w:hAnsi="Times New Roman" w:cs="Times New Roman"/>
          <w:kern w:val="0"/>
          <w:lang w:eastAsia="es-AR"/>
          <w14:ligatures w14:val="none"/>
        </w:rPr>
        <w:t>aumenta con el nivel educativo, pasando del 63% entre quienes tienen educación básica al 70% entre aquellos con un máster o doctorado. Curiosamente, Vietnam (92%) y Tailandia (90%) encabezan el ranking de percepción de igualdad en el hogar, superando a países con reputaciones más consolidadas en igualdad de género como Noruega (80%) y Finlandia (71%).</w:t>
      </w:r>
    </w:p>
    <w:p w14:paraId="2A53EBEC" w14:textId="77777777" w:rsidR="008334FF" w:rsidRPr="008334FF" w:rsidRDefault="008334FF" w:rsidP="0009790B">
      <w:pPr>
        <w:spacing w:before="100" w:beforeAutospacing="1" w:after="100" w:afterAutospacing="1" w:line="240" w:lineRule="auto"/>
        <w:jc w:val="both"/>
        <w:rPr>
          <w:rFonts w:ascii="Times New Roman" w:eastAsia="Times New Roman" w:hAnsi="Times New Roman" w:cs="Times New Roman"/>
          <w:kern w:val="0"/>
          <w:lang w:eastAsia="es-AR"/>
          <w14:ligatures w14:val="none"/>
        </w:rPr>
      </w:pPr>
      <w:r w:rsidRPr="008334FF">
        <w:rPr>
          <w:rFonts w:ascii="Times New Roman" w:eastAsia="Times New Roman" w:hAnsi="Times New Roman" w:cs="Times New Roman"/>
          <w:kern w:val="0"/>
          <w:lang w:eastAsia="es-AR"/>
          <w14:ligatures w14:val="none"/>
        </w:rPr>
        <w:t xml:space="preserve">Sin embargo, al comparar estas percepciones con la distribución real de las tareas domésticas, la correlación es prácticamente nula (según el análisis de Spearman). Esto sugiere que las creencias subjetivas sobre la igualdad de género – ya sea en el hogar, el trabajo o la política – no reflejan el comportamiento real. Mientras que Japón, que tiene la percepción más baja de igualdad de género en todos los ámbitos, muestra coherencia entre su percepción y la distribución de las tareas domésticas, países como Pakistán, Indonesia y Vietnam – a pesar de sus altas puntuaciones en percepción de igualdad – tienen las mayores brechas de género en el trabajo doméstico. Por otro lado, Polonia </w:t>
      </w:r>
      <w:r w:rsidRPr="008334FF">
        <w:rPr>
          <w:rFonts w:ascii="Times New Roman" w:eastAsia="Times New Roman" w:hAnsi="Times New Roman" w:cs="Times New Roman"/>
          <w:kern w:val="0"/>
          <w:lang w:eastAsia="es-AR"/>
          <w14:ligatures w14:val="none"/>
        </w:rPr>
        <w:lastRenderedPageBreak/>
        <w:t>muestra menor confianza en la igualdad de género, pero se encuentra mejor posicionada en términos de reparto de tareas en el hogar.</w:t>
      </w:r>
    </w:p>
    <w:p w14:paraId="708E9299" w14:textId="77777777" w:rsidR="008334FF" w:rsidRDefault="008334FF" w:rsidP="0009790B">
      <w:pPr>
        <w:spacing w:before="100" w:beforeAutospacing="1" w:after="100" w:afterAutospacing="1" w:line="240" w:lineRule="auto"/>
        <w:jc w:val="both"/>
        <w:rPr>
          <w:rFonts w:ascii="Times New Roman" w:eastAsia="Times New Roman" w:hAnsi="Times New Roman" w:cs="Times New Roman"/>
          <w:kern w:val="0"/>
          <w:lang w:eastAsia="es-AR"/>
          <w14:ligatures w14:val="none"/>
        </w:rPr>
      </w:pPr>
      <w:r w:rsidRPr="008334FF">
        <w:rPr>
          <w:rFonts w:ascii="Times New Roman" w:eastAsia="Times New Roman" w:hAnsi="Times New Roman" w:cs="Times New Roman"/>
          <w:kern w:val="0"/>
          <w:lang w:eastAsia="es-AR"/>
          <w14:ligatures w14:val="none"/>
        </w:rPr>
        <w:t>Esta desconexión resalta la necesidad de investigar más sobre qué factores influyen en la percepción de igualdad de género, ya sean culturales, económicos o históricos, y cómo estos impactan en las respuestas de la población.</w:t>
      </w:r>
    </w:p>
    <w:p w14:paraId="32654609" w14:textId="457C54B0" w:rsidR="000806C7" w:rsidRPr="00943699" w:rsidRDefault="000806C7" w:rsidP="0009790B">
      <w:pPr>
        <w:spacing w:before="100" w:beforeAutospacing="1" w:after="100" w:afterAutospacing="1" w:line="240" w:lineRule="auto"/>
        <w:jc w:val="both"/>
        <w:rPr>
          <w:rFonts w:ascii="Times New Roman" w:eastAsia="Times New Roman" w:hAnsi="Times New Roman" w:cs="Times New Roman"/>
          <w:color w:val="000000" w:themeColor="text1"/>
          <w:kern w:val="0"/>
          <w:lang w:eastAsia="es-AR"/>
          <w14:ligatures w14:val="none"/>
        </w:rPr>
      </w:pPr>
      <w:r w:rsidRPr="00943699">
        <w:rPr>
          <w:rFonts w:ascii="Times New Roman" w:eastAsia="Times New Roman" w:hAnsi="Times New Roman" w:cs="Times New Roman"/>
          <w:b/>
          <w:bCs/>
          <w:color w:val="000000" w:themeColor="text1"/>
          <w:kern w:val="0"/>
          <w:lang w:eastAsia="es-AR"/>
          <w14:ligatures w14:val="none"/>
        </w:rPr>
        <w:t>En la Argentina</w:t>
      </w:r>
      <w:r w:rsidRPr="00943699">
        <w:rPr>
          <w:rFonts w:ascii="Times New Roman" w:eastAsia="Times New Roman" w:hAnsi="Times New Roman" w:cs="Times New Roman"/>
          <w:color w:val="000000" w:themeColor="text1"/>
          <w:kern w:val="0"/>
          <w:lang w:eastAsia="es-AR"/>
          <w14:ligatures w14:val="none"/>
        </w:rPr>
        <w:t xml:space="preserve"> encontramos que tres cuartas partes de la población sostiene que se ha alcanzado la igualdad de g</w:t>
      </w:r>
      <w:r w:rsidR="00000E20" w:rsidRPr="00943699">
        <w:rPr>
          <w:rFonts w:ascii="Times New Roman" w:eastAsia="Times New Roman" w:hAnsi="Times New Roman" w:cs="Times New Roman"/>
          <w:color w:val="000000" w:themeColor="text1"/>
          <w:kern w:val="0"/>
          <w:lang w:eastAsia="es-AR"/>
          <w14:ligatures w14:val="none"/>
        </w:rPr>
        <w:t>é</w:t>
      </w:r>
      <w:r w:rsidRPr="00943699">
        <w:rPr>
          <w:rFonts w:ascii="Times New Roman" w:eastAsia="Times New Roman" w:hAnsi="Times New Roman" w:cs="Times New Roman"/>
          <w:color w:val="000000" w:themeColor="text1"/>
          <w:kern w:val="0"/>
          <w:lang w:eastAsia="es-AR"/>
          <w14:ligatures w14:val="none"/>
        </w:rPr>
        <w:t>nero en el hogar (7</w:t>
      </w:r>
      <w:r w:rsidR="00000E20" w:rsidRPr="00943699">
        <w:rPr>
          <w:rFonts w:ascii="Times New Roman" w:eastAsia="Times New Roman" w:hAnsi="Times New Roman" w:cs="Times New Roman"/>
          <w:color w:val="000000" w:themeColor="text1"/>
          <w:kern w:val="0"/>
          <w:lang w:eastAsia="es-AR"/>
          <w14:ligatures w14:val="none"/>
        </w:rPr>
        <w:t>4</w:t>
      </w:r>
      <w:r w:rsidRPr="00943699">
        <w:rPr>
          <w:rFonts w:ascii="Times New Roman" w:eastAsia="Times New Roman" w:hAnsi="Times New Roman" w:cs="Times New Roman"/>
          <w:color w:val="000000" w:themeColor="text1"/>
          <w:kern w:val="0"/>
          <w:lang w:eastAsia="es-AR"/>
          <w14:ligatures w14:val="none"/>
        </w:rPr>
        <w:t xml:space="preserve">%), un 65% en el trabajo y un 60% en política (el ámbito </w:t>
      </w:r>
      <w:r w:rsidR="00402CAD" w:rsidRPr="00943699">
        <w:rPr>
          <w:rFonts w:ascii="Times New Roman" w:eastAsia="Times New Roman" w:hAnsi="Times New Roman" w:cs="Times New Roman"/>
          <w:color w:val="000000" w:themeColor="text1"/>
          <w:kern w:val="0"/>
          <w:lang w:eastAsia="es-AR"/>
          <w14:ligatures w14:val="none"/>
        </w:rPr>
        <w:t>más</w:t>
      </w:r>
      <w:r w:rsidRPr="00943699">
        <w:rPr>
          <w:rFonts w:ascii="Times New Roman" w:eastAsia="Times New Roman" w:hAnsi="Times New Roman" w:cs="Times New Roman"/>
          <w:color w:val="000000" w:themeColor="text1"/>
          <w:kern w:val="0"/>
          <w:lang w:eastAsia="es-AR"/>
          <w14:ligatures w14:val="none"/>
        </w:rPr>
        <w:t xml:space="preserve"> rezagado). También encontramos que ha mejorado la percepción de igualdad en todos los ámbitos vs la onda anterior</w:t>
      </w:r>
      <w:r w:rsidR="00034E88" w:rsidRPr="00943699">
        <w:rPr>
          <w:rFonts w:ascii="Times New Roman" w:eastAsia="Times New Roman" w:hAnsi="Times New Roman" w:cs="Times New Roman"/>
          <w:color w:val="000000" w:themeColor="text1"/>
          <w:kern w:val="0"/>
          <w:lang w:eastAsia="es-AR"/>
          <w14:ligatures w14:val="none"/>
        </w:rPr>
        <w:t xml:space="preserve">. Las opiniones de hombres y mujeres con relación a la igualdad en el hogar no difieren </w:t>
      </w:r>
      <w:r w:rsidR="00000E20" w:rsidRPr="00943699">
        <w:rPr>
          <w:rFonts w:ascii="Times New Roman" w:eastAsia="Times New Roman" w:hAnsi="Times New Roman" w:cs="Times New Roman"/>
          <w:color w:val="000000" w:themeColor="text1"/>
          <w:kern w:val="0"/>
          <w:lang w:eastAsia="es-AR"/>
          <w14:ligatures w14:val="none"/>
        </w:rPr>
        <w:t>significativamente,</w:t>
      </w:r>
      <w:r w:rsidR="00034E88" w:rsidRPr="00943699">
        <w:rPr>
          <w:rFonts w:ascii="Times New Roman" w:eastAsia="Times New Roman" w:hAnsi="Times New Roman" w:cs="Times New Roman"/>
          <w:color w:val="000000" w:themeColor="text1"/>
          <w:kern w:val="0"/>
          <w:lang w:eastAsia="es-AR"/>
          <w14:ligatures w14:val="none"/>
        </w:rPr>
        <w:t xml:space="preserve"> pero s</w:t>
      </w:r>
      <w:r w:rsidR="00000E20" w:rsidRPr="00943699">
        <w:rPr>
          <w:rFonts w:ascii="Times New Roman" w:eastAsia="Times New Roman" w:hAnsi="Times New Roman" w:cs="Times New Roman"/>
          <w:color w:val="000000" w:themeColor="text1"/>
          <w:kern w:val="0"/>
          <w:lang w:eastAsia="es-AR"/>
          <w14:ligatures w14:val="none"/>
        </w:rPr>
        <w:t>í</w:t>
      </w:r>
      <w:r w:rsidR="00034E88" w:rsidRPr="00943699">
        <w:rPr>
          <w:rFonts w:ascii="Times New Roman" w:eastAsia="Times New Roman" w:hAnsi="Times New Roman" w:cs="Times New Roman"/>
          <w:color w:val="000000" w:themeColor="text1"/>
          <w:kern w:val="0"/>
          <w:lang w:eastAsia="es-AR"/>
          <w14:ligatures w14:val="none"/>
        </w:rPr>
        <w:t xml:space="preserve"> hay diferencias importantes con relación a la percepción de igualdad en lo político y laboral, donde los hombres son </w:t>
      </w:r>
      <w:r w:rsidR="00402CAD" w:rsidRPr="00943699">
        <w:rPr>
          <w:rFonts w:ascii="Times New Roman" w:eastAsia="Times New Roman" w:hAnsi="Times New Roman" w:cs="Times New Roman"/>
          <w:color w:val="000000" w:themeColor="text1"/>
          <w:kern w:val="0"/>
          <w:lang w:eastAsia="es-AR"/>
          <w14:ligatures w14:val="none"/>
        </w:rPr>
        <w:t>más</w:t>
      </w:r>
      <w:r w:rsidR="00034E88" w:rsidRPr="00943699">
        <w:rPr>
          <w:rFonts w:ascii="Times New Roman" w:eastAsia="Times New Roman" w:hAnsi="Times New Roman" w:cs="Times New Roman"/>
          <w:color w:val="000000" w:themeColor="text1"/>
          <w:kern w:val="0"/>
          <w:lang w:eastAsia="es-AR"/>
          <w14:ligatures w14:val="none"/>
        </w:rPr>
        <w:t xml:space="preserve"> optimistas que las mujeres. En los tres ámbitos medidos tiende a aumentar la percepción de igualdad a mayor educación y en CABA</w:t>
      </w:r>
      <w:r w:rsidR="00000E20" w:rsidRPr="00943699">
        <w:rPr>
          <w:rFonts w:ascii="Times New Roman" w:eastAsia="Times New Roman" w:hAnsi="Times New Roman" w:cs="Times New Roman"/>
          <w:color w:val="000000" w:themeColor="text1"/>
          <w:kern w:val="0"/>
          <w:lang w:eastAsia="es-AR"/>
          <w14:ligatures w14:val="none"/>
        </w:rPr>
        <w:t>.</w:t>
      </w:r>
    </w:p>
    <w:p w14:paraId="289AFDEE" w14:textId="2A87ACF9" w:rsidR="008334FF" w:rsidRPr="008334FF" w:rsidRDefault="008334FF" w:rsidP="0009790B">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s-AR"/>
          <w14:ligatures w14:val="none"/>
        </w:rPr>
      </w:pPr>
      <w:r w:rsidRPr="008334FF">
        <w:rPr>
          <w:rFonts w:ascii="Times New Roman" w:eastAsia="Times New Roman" w:hAnsi="Times New Roman" w:cs="Times New Roman"/>
          <w:b/>
          <w:bCs/>
          <w:kern w:val="0"/>
          <w:sz w:val="27"/>
          <w:szCs w:val="27"/>
          <w:lang w:eastAsia="es-AR"/>
          <w14:ligatures w14:val="none"/>
        </w:rPr>
        <w:t xml:space="preserve">Persisten las preocupaciones </w:t>
      </w:r>
      <w:r w:rsidR="00430727">
        <w:rPr>
          <w:rFonts w:ascii="Times New Roman" w:eastAsia="Times New Roman" w:hAnsi="Times New Roman" w:cs="Times New Roman"/>
          <w:b/>
          <w:bCs/>
          <w:kern w:val="0"/>
          <w:sz w:val="27"/>
          <w:szCs w:val="27"/>
          <w:lang w:eastAsia="es-AR"/>
          <w14:ligatures w14:val="none"/>
        </w:rPr>
        <w:t>sobre la</w:t>
      </w:r>
      <w:r w:rsidR="00000E20">
        <w:rPr>
          <w:rFonts w:ascii="Times New Roman" w:eastAsia="Times New Roman" w:hAnsi="Times New Roman" w:cs="Times New Roman"/>
          <w:b/>
          <w:bCs/>
          <w:kern w:val="0"/>
          <w:sz w:val="27"/>
          <w:szCs w:val="27"/>
          <w:lang w:eastAsia="es-AR"/>
          <w14:ligatures w14:val="none"/>
        </w:rPr>
        <w:t xml:space="preserve"> </w:t>
      </w:r>
      <w:r w:rsidRPr="008334FF">
        <w:rPr>
          <w:rFonts w:ascii="Times New Roman" w:eastAsia="Times New Roman" w:hAnsi="Times New Roman" w:cs="Times New Roman"/>
          <w:b/>
          <w:bCs/>
          <w:kern w:val="0"/>
          <w:sz w:val="27"/>
          <w:szCs w:val="27"/>
          <w:lang w:eastAsia="es-AR"/>
          <w14:ligatures w14:val="none"/>
        </w:rPr>
        <w:t>violencia contra las mujeres</w:t>
      </w:r>
      <w:r w:rsidR="007C62B7">
        <w:rPr>
          <w:rFonts w:ascii="Times New Roman" w:eastAsia="Times New Roman" w:hAnsi="Times New Roman" w:cs="Times New Roman"/>
          <w:b/>
          <w:bCs/>
          <w:kern w:val="0"/>
          <w:sz w:val="27"/>
          <w:szCs w:val="27"/>
          <w:lang w:eastAsia="es-AR"/>
          <w14:ligatures w14:val="none"/>
        </w:rPr>
        <w:t>. Argentina al tope del ranking mundial en padecimiento de violencia</w:t>
      </w:r>
      <w:r w:rsidR="00116180">
        <w:rPr>
          <w:rFonts w:ascii="Times New Roman" w:eastAsia="Times New Roman" w:hAnsi="Times New Roman" w:cs="Times New Roman"/>
          <w:b/>
          <w:bCs/>
          <w:kern w:val="0"/>
          <w:sz w:val="27"/>
          <w:szCs w:val="27"/>
          <w:lang w:eastAsia="es-AR"/>
          <w14:ligatures w14:val="none"/>
        </w:rPr>
        <w:t>.</w:t>
      </w:r>
    </w:p>
    <w:p w14:paraId="5D0C6129" w14:textId="062C7EBD" w:rsidR="008334FF" w:rsidRPr="008334FF" w:rsidRDefault="008334FF" w:rsidP="0009790B">
      <w:pPr>
        <w:spacing w:before="100" w:beforeAutospacing="1" w:after="100" w:afterAutospacing="1" w:line="240" w:lineRule="auto"/>
        <w:jc w:val="both"/>
        <w:rPr>
          <w:rFonts w:ascii="Times New Roman" w:eastAsia="Times New Roman" w:hAnsi="Times New Roman" w:cs="Times New Roman"/>
          <w:kern w:val="0"/>
          <w:lang w:eastAsia="es-AR"/>
          <w14:ligatures w14:val="none"/>
        </w:rPr>
      </w:pPr>
      <w:r w:rsidRPr="008334FF">
        <w:rPr>
          <w:rFonts w:ascii="Times New Roman" w:eastAsia="Times New Roman" w:hAnsi="Times New Roman" w:cs="Times New Roman"/>
          <w:kern w:val="0"/>
          <w:lang w:eastAsia="es-AR"/>
          <w14:ligatures w14:val="none"/>
        </w:rPr>
        <w:t>El porcentaje de mujeres que reporta haber sufrido violencia física y/o psicológica ha disminuido a nivel mundial, pasando del 20% en 2024 al 14% en 2025. Sin embargo, esta caída se debe en parte a la inclusión de países con tasas más bajas de violencia, como China y Tailandia (donde el 97% y el 90% de las encuestadas, respectivamente, respondieron</w:t>
      </w:r>
      <w:r w:rsidR="00116180">
        <w:rPr>
          <w:rFonts w:ascii="Times New Roman" w:eastAsia="Times New Roman" w:hAnsi="Times New Roman" w:cs="Times New Roman"/>
          <w:kern w:val="0"/>
          <w:lang w:eastAsia="es-AR"/>
          <w14:ligatures w14:val="none"/>
        </w:rPr>
        <w:t xml:space="preserve"> </w:t>
      </w:r>
      <w:r w:rsidRPr="008334FF">
        <w:rPr>
          <w:rFonts w:ascii="Times New Roman" w:eastAsia="Times New Roman" w:hAnsi="Times New Roman" w:cs="Times New Roman"/>
          <w:kern w:val="0"/>
          <w:lang w:eastAsia="es-AR"/>
          <w14:ligatures w14:val="none"/>
        </w:rPr>
        <w:t>"no" al ser preguntadas sobre experiencias de violencia), así como Eslovaquia y Noruega (donde el 88% de las mujeres no reportó haber sufrido violencia). A su vez, Nigeria – el país con el índice más alto de violencia contra las mujeres en 2024 – no participó este año. De manera similar, los reportes de acoso sexual han disminuido del 10% al 7%, influenciados por los mismos factores.</w:t>
      </w:r>
    </w:p>
    <w:p w14:paraId="3EF84998" w14:textId="6DAD89EF" w:rsidR="008334FF" w:rsidRPr="008334FF" w:rsidRDefault="008334FF" w:rsidP="0009790B">
      <w:pPr>
        <w:spacing w:before="100" w:beforeAutospacing="1" w:after="100" w:afterAutospacing="1" w:line="240" w:lineRule="auto"/>
        <w:jc w:val="both"/>
        <w:rPr>
          <w:rFonts w:ascii="Times New Roman" w:eastAsia="Times New Roman" w:hAnsi="Times New Roman" w:cs="Times New Roman"/>
          <w:kern w:val="0"/>
          <w:lang w:eastAsia="es-AR"/>
          <w14:ligatures w14:val="none"/>
        </w:rPr>
      </w:pPr>
      <w:r w:rsidRPr="008334FF">
        <w:rPr>
          <w:rFonts w:ascii="Times New Roman" w:eastAsia="Times New Roman" w:hAnsi="Times New Roman" w:cs="Times New Roman"/>
          <w:kern w:val="0"/>
          <w:lang w:eastAsia="es-AR"/>
          <w14:ligatures w14:val="none"/>
        </w:rPr>
        <w:t>Tanto la violencia como el acoso están fuertemente relacionados con la edad, afectando más a las mujeres jóvenes, una tendencia persistente desde 2019. Entre las mujeres de 18 a 24 años, el 18% ha experimentado violencia y el 16% ha enfrentado acoso sexual en 2025</w:t>
      </w:r>
      <w:r w:rsidR="00D543D6">
        <w:rPr>
          <w:rFonts w:ascii="Times New Roman" w:eastAsia="Times New Roman" w:hAnsi="Times New Roman" w:cs="Times New Roman"/>
          <w:kern w:val="0"/>
          <w:lang w:eastAsia="es-AR"/>
          <w14:ligatures w14:val="none"/>
        </w:rPr>
        <w:t xml:space="preserve"> a nivel global. </w:t>
      </w:r>
      <w:r w:rsidRPr="008334FF">
        <w:rPr>
          <w:rFonts w:ascii="Times New Roman" w:eastAsia="Times New Roman" w:hAnsi="Times New Roman" w:cs="Times New Roman"/>
          <w:kern w:val="0"/>
          <w:lang w:eastAsia="es-AR"/>
          <w14:ligatures w14:val="none"/>
        </w:rPr>
        <w:t xml:space="preserve">Estas cifras disminuyen significativamente </w:t>
      </w:r>
      <w:r w:rsidR="00116180">
        <w:rPr>
          <w:rFonts w:ascii="Times New Roman" w:eastAsia="Times New Roman" w:hAnsi="Times New Roman" w:cs="Times New Roman"/>
          <w:kern w:val="0"/>
          <w:lang w:eastAsia="es-AR"/>
          <w14:ligatures w14:val="none"/>
        </w:rPr>
        <w:t xml:space="preserve">a mayor </w:t>
      </w:r>
      <w:r w:rsidRPr="008334FF">
        <w:rPr>
          <w:rFonts w:ascii="Times New Roman" w:eastAsia="Times New Roman" w:hAnsi="Times New Roman" w:cs="Times New Roman"/>
          <w:kern w:val="0"/>
          <w:lang w:eastAsia="es-AR"/>
          <w14:ligatures w14:val="none"/>
        </w:rPr>
        <w:t xml:space="preserve">edad: </w:t>
      </w:r>
      <w:proofErr w:type="spellStart"/>
      <w:r w:rsidRPr="008334FF">
        <w:rPr>
          <w:rFonts w:ascii="Times New Roman" w:eastAsia="Times New Roman" w:hAnsi="Times New Roman" w:cs="Times New Roman"/>
          <w:kern w:val="0"/>
          <w:lang w:eastAsia="es-AR"/>
          <w14:ligatures w14:val="none"/>
        </w:rPr>
        <w:t>sel</w:t>
      </w:r>
      <w:proofErr w:type="spellEnd"/>
      <w:r w:rsidRPr="008334FF">
        <w:rPr>
          <w:rFonts w:ascii="Times New Roman" w:eastAsia="Times New Roman" w:hAnsi="Times New Roman" w:cs="Times New Roman"/>
          <w:kern w:val="0"/>
          <w:lang w:eastAsia="es-AR"/>
          <w14:ligatures w14:val="none"/>
        </w:rPr>
        <w:t xml:space="preserve"> 5% de las mujeres mayores de 65 años reporta haber sufrido </w:t>
      </w:r>
      <w:r w:rsidR="00D543D6">
        <w:rPr>
          <w:rFonts w:ascii="Times New Roman" w:eastAsia="Times New Roman" w:hAnsi="Times New Roman" w:cs="Times New Roman"/>
          <w:kern w:val="0"/>
          <w:lang w:eastAsia="es-AR"/>
          <w14:ligatures w14:val="none"/>
        </w:rPr>
        <w:t xml:space="preserve">en los últimos 12 meses </w:t>
      </w:r>
      <w:r w:rsidRPr="008334FF">
        <w:rPr>
          <w:rFonts w:ascii="Times New Roman" w:eastAsia="Times New Roman" w:hAnsi="Times New Roman" w:cs="Times New Roman"/>
          <w:kern w:val="0"/>
          <w:lang w:eastAsia="es-AR"/>
          <w14:ligatures w14:val="none"/>
        </w:rPr>
        <w:t>violencia y el 1% acoso sexual.</w:t>
      </w:r>
    </w:p>
    <w:p w14:paraId="562C350B" w14:textId="01BBD14B" w:rsidR="008334FF" w:rsidRPr="008334FF" w:rsidRDefault="008334FF" w:rsidP="0009790B">
      <w:pPr>
        <w:spacing w:before="100" w:beforeAutospacing="1" w:after="100" w:afterAutospacing="1" w:line="240" w:lineRule="auto"/>
        <w:jc w:val="both"/>
        <w:rPr>
          <w:rFonts w:ascii="Times New Roman" w:eastAsia="Times New Roman" w:hAnsi="Times New Roman" w:cs="Times New Roman"/>
          <w:kern w:val="0"/>
          <w:lang w:eastAsia="es-AR"/>
          <w14:ligatures w14:val="none"/>
        </w:rPr>
      </w:pPr>
      <w:r w:rsidRPr="008334FF">
        <w:rPr>
          <w:rFonts w:ascii="Times New Roman" w:eastAsia="Times New Roman" w:hAnsi="Times New Roman" w:cs="Times New Roman"/>
          <w:kern w:val="0"/>
          <w:lang w:eastAsia="es-AR"/>
          <w14:ligatures w14:val="none"/>
        </w:rPr>
        <w:t>Las tendencias específicas por país reflejan la complejidad del problema. En Turquía, los reportes de violencia aumentaron del 13% en 2024 al 18% este año, posiblemente debido a una mayor concie</w:t>
      </w:r>
      <w:r w:rsidR="00116180">
        <w:rPr>
          <w:rFonts w:ascii="Times New Roman" w:eastAsia="Times New Roman" w:hAnsi="Times New Roman" w:cs="Times New Roman"/>
          <w:kern w:val="0"/>
          <w:lang w:eastAsia="es-AR"/>
          <w14:ligatures w14:val="none"/>
        </w:rPr>
        <w:t>ntización</w:t>
      </w:r>
      <w:r w:rsidRPr="008334FF">
        <w:rPr>
          <w:rFonts w:ascii="Times New Roman" w:eastAsia="Times New Roman" w:hAnsi="Times New Roman" w:cs="Times New Roman"/>
          <w:kern w:val="0"/>
          <w:lang w:eastAsia="es-AR"/>
          <w14:ligatures w14:val="none"/>
        </w:rPr>
        <w:t xml:space="preserve"> tras casos de </w:t>
      </w:r>
      <w:r w:rsidR="00116180">
        <w:rPr>
          <w:rFonts w:ascii="Times New Roman" w:eastAsia="Times New Roman" w:hAnsi="Times New Roman" w:cs="Times New Roman"/>
          <w:kern w:val="0"/>
          <w:lang w:eastAsia="es-AR"/>
          <w14:ligatures w14:val="none"/>
        </w:rPr>
        <w:t>femicidios</w:t>
      </w:r>
      <w:r w:rsidRPr="008334FF">
        <w:rPr>
          <w:rFonts w:ascii="Times New Roman" w:eastAsia="Times New Roman" w:hAnsi="Times New Roman" w:cs="Times New Roman"/>
          <w:kern w:val="0"/>
          <w:lang w:eastAsia="es-AR"/>
          <w14:ligatures w14:val="none"/>
        </w:rPr>
        <w:t xml:space="preserve"> mediáticos y protestas públicas. Mientras tanto, Brasil demuestra cómo las políticas pueden generar cambios: la proporción de mujeres que reportaron violencia </w:t>
      </w:r>
      <w:r w:rsidR="00D543D6">
        <w:rPr>
          <w:rFonts w:ascii="Times New Roman" w:eastAsia="Times New Roman" w:hAnsi="Times New Roman" w:cs="Times New Roman"/>
          <w:kern w:val="0"/>
          <w:lang w:eastAsia="es-AR"/>
          <w14:ligatures w14:val="none"/>
        </w:rPr>
        <w:t xml:space="preserve">en la encuesta </w:t>
      </w:r>
      <w:r w:rsidRPr="008334FF">
        <w:rPr>
          <w:rFonts w:ascii="Times New Roman" w:eastAsia="Times New Roman" w:hAnsi="Times New Roman" w:cs="Times New Roman"/>
          <w:kern w:val="0"/>
          <w:lang w:eastAsia="es-AR"/>
          <w14:ligatures w14:val="none"/>
        </w:rPr>
        <w:t>cayó del 31% al 19%, y los casos de acoso sexual se redujeron del 20% al 10%. Esto ocurrió tras la reinstauración del Ministerio de la Mujer en 2023, la reactivación de líneas de atención 24/7 y refugios para mujeres, y la implementación de más de 10 nuevas leyes en favor de los derechos de las mujeres.</w:t>
      </w:r>
      <w:r w:rsidR="00843EB7" w:rsidRPr="00843EB7">
        <w:rPr>
          <w:rFonts w:ascii="Times New Roman" w:eastAsia="Times New Roman" w:hAnsi="Times New Roman" w:cs="Times New Roman"/>
          <w:color w:val="156082" w:themeColor="accent1"/>
          <w:kern w:val="0"/>
          <w:lang w:eastAsia="es-AR"/>
          <w14:ligatures w14:val="none"/>
        </w:rPr>
        <w:t xml:space="preserve"> </w:t>
      </w:r>
      <w:r w:rsidR="00843EB7" w:rsidRPr="008334FF">
        <w:rPr>
          <w:rFonts w:ascii="Times New Roman" w:eastAsia="Times New Roman" w:hAnsi="Times New Roman" w:cs="Times New Roman"/>
          <w:kern w:val="0"/>
          <w:lang w:eastAsia="es-AR"/>
          <w14:ligatures w14:val="none"/>
        </w:rPr>
        <w:t>Estos datos resaltan la necesidad de esfuerzos sostenidos para proteger los derechos de las mujeres y garantizar que el progreso no solo sea percibido, sino que se refleje en experiencias reales.</w:t>
      </w:r>
    </w:p>
    <w:p w14:paraId="7DB12AEA" w14:textId="4321372A" w:rsidR="00430727" w:rsidRPr="00943699" w:rsidRDefault="00843EB7" w:rsidP="0009790B">
      <w:pPr>
        <w:spacing w:before="100" w:beforeAutospacing="1" w:after="100" w:afterAutospacing="1" w:line="240" w:lineRule="auto"/>
        <w:jc w:val="both"/>
        <w:rPr>
          <w:rFonts w:ascii="Times New Roman" w:eastAsia="Times New Roman" w:hAnsi="Times New Roman" w:cs="Times New Roman"/>
          <w:color w:val="000000" w:themeColor="text1"/>
          <w:kern w:val="0"/>
          <w:lang w:eastAsia="es-AR"/>
          <w14:ligatures w14:val="none"/>
        </w:rPr>
      </w:pPr>
      <w:r w:rsidRPr="00943699">
        <w:rPr>
          <w:rFonts w:ascii="Times New Roman" w:eastAsia="Times New Roman" w:hAnsi="Times New Roman" w:cs="Times New Roman"/>
          <w:b/>
          <w:bCs/>
          <w:color w:val="000000" w:themeColor="text1"/>
          <w:kern w:val="0"/>
          <w:lang w:eastAsia="es-AR"/>
          <w14:ligatures w14:val="none"/>
        </w:rPr>
        <w:lastRenderedPageBreak/>
        <w:t xml:space="preserve">Argentina y </w:t>
      </w:r>
      <w:r w:rsidR="00116180" w:rsidRPr="00943699">
        <w:rPr>
          <w:rFonts w:ascii="Times New Roman" w:eastAsia="Times New Roman" w:hAnsi="Times New Roman" w:cs="Times New Roman"/>
          <w:b/>
          <w:bCs/>
          <w:color w:val="000000" w:themeColor="text1"/>
          <w:kern w:val="0"/>
          <w:lang w:eastAsia="es-AR"/>
          <w14:ligatures w14:val="none"/>
        </w:rPr>
        <w:t>América</w:t>
      </w:r>
      <w:r w:rsidRPr="00943699">
        <w:rPr>
          <w:rFonts w:ascii="Times New Roman" w:eastAsia="Times New Roman" w:hAnsi="Times New Roman" w:cs="Times New Roman"/>
          <w:b/>
          <w:bCs/>
          <w:color w:val="000000" w:themeColor="text1"/>
          <w:kern w:val="0"/>
          <w:lang w:eastAsia="es-AR"/>
          <w14:ligatures w14:val="none"/>
        </w:rPr>
        <w:t xml:space="preserve"> Latina:</w:t>
      </w:r>
      <w:r w:rsidRPr="00943699">
        <w:rPr>
          <w:rFonts w:ascii="Times New Roman" w:eastAsia="Times New Roman" w:hAnsi="Times New Roman" w:cs="Times New Roman"/>
          <w:color w:val="000000" w:themeColor="text1"/>
          <w:kern w:val="0"/>
          <w:lang w:eastAsia="es-AR"/>
          <w14:ligatures w14:val="none"/>
        </w:rPr>
        <w:t xml:space="preserve"> En</w:t>
      </w:r>
      <w:r w:rsidR="008334FF" w:rsidRPr="00943699">
        <w:rPr>
          <w:rFonts w:ascii="Times New Roman" w:eastAsia="Times New Roman" w:hAnsi="Times New Roman" w:cs="Times New Roman"/>
          <w:color w:val="000000" w:themeColor="text1"/>
          <w:kern w:val="0"/>
          <w:lang w:eastAsia="es-AR"/>
          <w14:ligatures w14:val="none"/>
        </w:rPr>
        <w:t xml:space="preserve"> América Latina</w:t>
      </w:r>
      <w:r w:rsidRPr="00943699">
        <w:rPr>
          <w:rFonts w:ascii="Times New Roman" w:eastAsia="Times New Roman" w:hAnsi="Times New Roman" w:cs="Times New Roman"/>
          <w:color w:val="000000" w:themeColor="text1"/>
          <w:kern w:val="0"/>
          <w:lang w:eastAsia="es-AR"/>
          <w14:ligatures w14:val="none"/>
        </w:rPr>
        <w:t xml:space="preserve"> </w:t>
      </w:r>
      <w:r w:rsidR="008334FF" w:rsidRPr="00943699">
        <w:rPr>
          <w:rFonts w:ascii="Times New Roman" w:eastAsia="Times New Roman" w:hAnsi="Times New Roman" w:cs="Times New Roman"/>
          <w:color w:val="000000" w:themeColor="text1"/>
          <w:kern w:val="0"/>
          <w:lang w:eastAsia="es-AR"/>
          <w14:ligatures w14:val="none"/>
        </w:rPr>
        <w:t>se encuentran cinco de los 15 países con más reportes de violencia contra las mujeres y siete de los 15 con mayores denuncias de acoso sexual</w:t>
      </w:r>
      <w:r w:rsidR="00430727" w:rsidRPr="00943699">
        <w:rPr>
          <w:rFonts w:ascii="Times New Roman" w:eastAsia="Times New Roman" w:hAnsi="Times New Roman" w:cs="Times New Roman"/>
          <w:color w:val="000000" w:themeColor="text1"/>
          <w:kern w:val="0"/>
          <w:lang w:eastAsia="es-AR"/>
          <w14:ligatures w14:val="none"/>
        </w:rPr>
        <w:t xml:space="preserve">, mostrando que estos flagelos si bien son globales son muy relevantes para nuestra región. </w:t>
      </w:r>
    </w:p>
    <w:p w14:paraId="78FBC541" w14:textId="57CC9217" w:rsidR="008334FF" w:rsidRPr="00943699" w:rsidRDefault="008334FF" w:rsidP="0009790B">
      <w:pPr>
        <w:spacing w:before="100" w:beforeAutospacing="1" w:after="100" w:afterAutospacing="1" w:line="240" w:lineRule="auto"/>
        <w:jc w:val="both"/>
        <w:rPr>
          <w:rFonts w:ascii="Times New Roman" w:eastAsia="Times New Roman" w:hAnsi="Times New Roman" w:cs="Times New Roman"/>
          <w:color w:val="000000" w:themeColor="text1"/>
          <w:kern w:val="0"/>
          <w:lang w:eastAsia="es-AR"/>
          <w14:ligatures w14:val="none"/>
        </w:rPr>
      </w:pPr>
      <w:r w:rsidRPr="00943699">
        <w:rPr>
          <w:rFonts w:ascii="Times New Roman" w:eastAsia="Times New Roman" w:hAnsi="Times New Roman" w:cs="Times New Roman"/>
          <w:b/>
          <w:bCs/>
          <w:color w:val="000000" w:themeColor="text1"/>
          <w:kern w:val="0"/>
          <w:lang w:eastAsia="es-AR"/>
          <w14:ligatures w14:val="none"/>
        </w:rPr>
        <w:t xml:space="preserve">Argentina </w:t>
      </w:r>
      <w:r w:rsidRPr="00943699">
        <w:rPr>
          <w:rFonts w:ascii="Times New Roman" w:eastAsia="Times New Roman" w:hAnsi="Times New Roman" w:cs="Times New Roman"/>
          <w:color w:val="000000" w:themeColor="text1"/>
          <w:kern w:val="0"/>
          <w:lang w:eastAsia="es-AR"/>
          <w14:ligatures w14:val="none"/>
        </w:rPr>
        <w:t xml:space="preserve">encabeza la lista </w:t>
      </w:r>
      <w:r w:rsidR="00D543D6">
        <w:rPr>
          <w:rFonts w:ascii="Times New Roman" w:eastAsia="Times New Roman" w:hAnsi="Times New Roman" w:cs="Times New Roman"/>
          <w:color w:val="000000" w:themeColor="text1"/>
          <w:kern w:val="0"/>
          <w:lang w:eastAsia="es-AR"/>
          <w14:ligatures w14:val="none"/>
        </w:rPr>
        <w:t xml:space="preserve">entre los 39 países medidos </w:t>
      </w:r>
      <w:r w:rsidRPr="00943699">
        <w:rPr>
          <w:rFonts w:ascii="Times New Roman" w:eastAsia="Times New Roman" w:hAnsi="Times New Roman" w:cs="Times New Roman"/>
          <w:color w:val="000000" w:themeColor="text1"/>
          <w:kern w:val="0"/>
          <w:lang w:eastAsia="es-AR"/>
          <w14:ligatures w14:val="none"/>
        </w:rPr>
        <w:t>de violencia</w:t>
      </w:r>
      <w:r w:rsidR="00430727" w:rsidRPr="00943699">
        <w:rPr>
          <w:rFonts w:ascii="Times New Roman" w:eastAsia="Times New Roman" w:hAnsi="Times New Roman" w:cs="Times New Roman"/>
          <w:color w:val="000000" w:themeColor="text1"/>
          <w:kern w:val="0"/>
          <w:lang w:eastAsia="es-AR"/>
          <w14:ligatures w14:val="none"/>
        </w:rPr>
        <w:t xml:space="preserve"> física o psicológica contra las mujeres</w:t>
      </w:r>
      <w:r w:rsidRPr="00943699">
        <w:rPr>
          <w:rFonts w:ascii="Times New Roman" w:eastAsia="Times New Roman" w:hAnsi="Times New Roman" w:cs="Times New Roman"/>
          <w:color w:val="000000" w:themeColor="text1"/>
          <w:kern w:val="0"/>
          <w:lang w:eastAsia="es-AR"/>
          <w14:ligatures w14:val="none"/>
        </w:rPr>
        <w:t xml:space="preserve"> con un 39%</w:t>
      </w:r>
      <w:r w:rsidR="00430727" w:rsidRPr="00943699">
        <w:rPr>
          <w:rFonts w:ascii="Times New Roman" w:eastAsia="Times New Roman" w:hAnsi="Times New Roman" w:cs="Times New Roman"/>
          <w:color w:val="000000" w:themeColor="text1"/>
          <w:kern w:val="0"/>
          <w:lang w:eastAsia="es-AR"/>
          <w14:ligatures w14:val="none"/>
        </w:rPr>
        <w:t xml:space="preserve"> (con una disminución con relación a la onda de 202</w:t>
      </w:r>
      <w:r w:rsidR="00116180" w:rsidRPr="00943699">
        <w:rPr>
          <w:rFonts w:ascii="Times New Roman" w:eastAsia="Times New Roman" w:hAnsi="Times New Roman" w:cs="Times New Roman"/>
          <w:color w:val="000000" w:themeColor="text1"/>
          <w:kern w:val="0"/>
          <w:lang w:eastAsia="es-AR"/>
          <w14:ligatures w14:val="none"/>
        </w:rPr>
        <w:t>4</w:t>
      </w:r>
      <w:r w:rsidR="00430727" w:rsidRPr="00943699">
        <w:rPr>
          <w:rFonts w:ascii="Times New Roman" w:eastAsia="Times New Roman" w:hAnsi="Times New Roman" w:cs="Times New Roman"/>
          <w:color w:val="000000" w:themeColor="text1"/>
          <w:kern w:val="0"/>
          <w:lang w:eastAsia="es-AR"/>
          <w14:ligatures w14:val="none"/>
        </w:rPr>
        <w:t xml:space="preserve"> que no alcanza para quitar a la Argentina del podio mundial)</w:t>
      </w:r>
      <w:r w:rsidRPr="00943699">
        <w:rPr>
          <w:rFonts w:ascii="Times New Roman" w:eastAsia="Times New Roman" w:hAnsi="Times New Roman" w:cs="Times New Roman"/>
          <w:color w:val="000000" w:themeColor="text1"/>
          <w:kern w:val="0"/>
          <w:lang w:eastAsia="es-AR"/>
          <w14:ligatures w14:val="none"/>
        </w:rPr>
        <w:t xml:space="preserve">, mientras que México lidera en reportes de acoso sexual con un 28%. </w:t>
      </w:r>
    </w:p>
    <w:p w14:paraId="3B19F223" w14:textId="2A90AE83" w:rsidR="00430727" w:rsidRPr="00943699" w:rsidRDefault="00430727" w:rsidP="0009790B">
      <w:pPr>
        <w:spacing w:before="100" w:beforeAutospacing="1" w:after="100" w:afterAutospacing="1" w:line="240" w:lineRule="auto"/>
        <w:jc w:val="both"/>
        <w:rPr>
          <w:rFonts w:ascii="Times New Roman" w:eastAsia="Times New Roman" w:hAnsi="Times New Roman" w:cs="Times New Roman"/>
          <w:color w:val="000000" w:themeColor="text1"/>
          <w:kern w:val="0"/>
          <w:lang w:eastAsia="es-AR"/>
          <w14:ligatures w14:val="none"/>
        </w:rPr>
      </w:pPr>
      <w:r w:rsidRPr="00943699">
        <w:rPr>
          <w:rFonts w:ascii="Times New Roman" w:eastAsia="Times New Roman" w:hAnsi="Times New Roman" w:cs="Times New Roman"/>
          <w:color w:val="000000" w:themeColor="text1"/>
          <w:kern w:val="0"/>
          <w:lang w:eastAsia="es-AR"/>
          <w14:ligatures w14:val="none"/>
        </w:rPr>
        <w:t>Tal como ocurre a nivel global, la violencia en nuestro país es m</w:t>
      </w:r>
      <w:r w:rsidR="00116180" w:rsidRPr="00943699">
        <w:rPr>
          <w:rFonts w:ascii="Times New Roman" w:eastAsia="Times New Roman" w:hAnsi="Times New Roman" w:cs="Times New Roman"/>
          <w:color w:val="000000" w:themeColor="text1"/>
          <w:kern w:val="0"/>
          <w:lang w:eastAsia="es-AR"/>
          <w14:ligatures w14:val="none"/>
        </w:rPr>
        <w:t>ás</w:t>
      </w:r>
      <w:r w:rsidRPr="00943699">
        <w:rPr>
          <w:rFonts w:ascii="Times New Roman" w:eastAsia="Times New Roman" w:hAnsi="Times New Roman" w:cs="Times New Roman"/>
          <w:color w:val="000000" w:themeColor="text1"/>
          <w:kern w:val="0"/>
          <w:lang w:eastAsia="es-AR"/>
          <w14:ligatures w14:val="none"/>
        </w:rPr>
        <w:t xml:space="preserve"> frecuente entre las mujeres jóvenes, llegando casi a la mitad de las encuestadas reportándolo entre los 18-35 años.</w:t>
      </w:r>
      <w:r w:rsidR="00116180" w:rsidRPr="00943699">
        <w:rPr>
          <w:rFonts w:ascii="Times New Roman" w:eastAsia="Times New Roman" w:hAnsi="Times New Roman" w:cs="Times New Roman"/>
          <w:color w:val="000000" w:themeColor="text1"/>
          <w:kern w:val="0"/>
          <w:lang w:eastAsia="es-AR"/>
          <w14:ligatures w14:val="none"/>
        </w:rPr>
        <w:t xml:space="preserve"> </w:t>
      </w:r>
      <w:r w:rsidRPr="00943699">
        <w:rPr>
          <w:rFonts w:ascii="Times New Roman" w:eastAsia="Times New Roman" w:hAnsi="Times New Roman" w:cs="Times New Roman"/>
          <w:color w:val="000000" w:themeColor="text1"/>
          <w:kern w:val="0"/>
          <w:lang w:eastAsia="es-AR"/>
          <w14:ligatures w14:val="none"/>
        </w:rPr>
        <w:t>También crece la mención de haber padecido este tipo de violencia a mayor nivel socioeconómico y en GBA e Interior con relación a CABA</w:t>
      </w:r>
      <w:r w:rsidR="00116180" w:rsidRPr="00943699">
        <w:rPr>
          <w:rFonts w:ascii="Times New Roman" w:eastAsia="Times New Roman" w:hAnsi="Times New Roman" w:cs="Times New Roman"/>
          <w:color w:val="000000" w:themeColor="text1"/>
          <w:kern w:val="0"/>
          <w:lang w:eastAsia="es-AR"/>
          <w14:ligatures w14:val="none"/>
        </w:rPr>
        <w:t>.</w:t>
      </w:r>
    </w:p>
    <w:p w14:paraId="4F9D4B84" w14:textId="06D57B4A" w:rsidR="00943699" w:rsidRPr="00943699" w:rsidRDefault="003D5295" w:rsidP="000942D0">
      <w:pPr>
        <w:spacing w:before="100" w:beforeAutospacing="1" w:after="100" w:afterAutospacing="1" w:line="240" w:lineRule="auto"/>
        <w:jc w:val="both"/>
        <w:rPr>
          <w:rFonts w:ascii="Times New Roman" w:eastAsia="Times New Roman" w:hAnsi="Times New Roman" w:cs="Times New Roman"/>
          <w:color w:val="000000" w:themeColor="text1"/>
          <w:kern w:val="0"/>
          <w:lang w:eastAsia="es-AR"/>
          <w14:ligatures w14:val="none"/>
        </w:rPr>
      </w:pPr>
      <w:r w:rsidRPr="00943699">
        <w:rPr>
          <w:rFonts w:ascii="Times New Roman" w:eastAsia="Times New Roman" w:hAnsi="Times New Roman" w:cs="Times New Roman"/>
          <w:color w:val="000000" w:themeColor="text1"/>
          <w:kern w:val="0"/>
          <w:lang w:eastAsia="es-AR"/>
          <w14:ligatures w14:val="none"/>
        </w:rPr>
        <w:t xml:space="preserve">En cuanto al acoso sexual, un 12% de las mujeres </w:t>
      </w:r>
      <w:r w:rsidR="00D543D6">
        <w:rPr>
          <w:rFonts w:ascii="Times New Roman" w:eastAsia="Times New Roman" w:hAnsi="Times New Roman" w:cs="Times New Roman"/>
          <w:color w:val="000000" w:themeColor="text1"/>
          <w:kern w:val="0"/>
          <w:lang w:eastAsia="es-AR"/>
          <w14:ligatures w14:val="none"/>
        </w:rPr>
        <w:t xml:space="preserve">argentinas </w:t>
      </w:r>
      <w:r w:rsidRPr="00943699">
        <w:rPr>
          <w:rFonts w:ascii="Times New Roman" w:eastAsia="Times New Roman" w:hAnsi="Times New Roman" w:cs="Times New Roman"/>
          <w:color w:val="000000" w:themeColor="text1"/>
          <w:kern w:val="0"/>
          <w:lang w:eastAsia="es-AR"/>
          <w14:ligatures w14:val="none"/>
        </w:rPr>
        <w:t xml:space="preserve">señala haberlo padecido en los últimos meses, en línea con la edición anterior. Reportan haberlo padecido </w:t>
      </w:r>
      <w:r w:rsidR="00FC1D88" w:rsidRPr="00943699">
        <w:rPr>
          <w:rFonts w:ascii="Times New Roman" w:eastAsia="Times New Roman" w:hAnsi="Times New Roman" w:cs="Times New Roman"/>
          <w:color w:val="000000" w:themeColor="text1"/>
          <w:kern w:val="0"/>
          <w:lang w:eastAsia="es-AR"/>
          <w14:ligatures w14:val="none"/>
        </w:rPr>
        <w:t>más l</w:t>
      </w:r>
      <w:r w:rsidRPr="00943699">
        <w:rPr>
          <w:rFonts w:ascii="Times New Roman" w:eastAsia="Times New Roman" w:hAnsi="Times New Roman" w:cs="Times New Roman"/>
          <w:color w:val="000000" w:themeColor="text1"/>
          <w:kern w:val="0"/>
          <w:lang w:eastAsia="es-AR"/>
          <w14:ligatures w14:val="none"/>
        </w:rPr>
        <w:t>as mujeres de 18-24 años donde llega a un quinto (25%) y también se da con mayor frecuencia en GBA e Interior</w:t>
      </w:r>
      <w:r w:rsidR="000942D0">
        <w:rPr>
          <w:rFonts w:ascii="Times New Roman" w:eastAsia="Times New Roman" w:hAnsi="Times New Roman" w:cs="Times New Roman"/>
          <w:color w:val="000000" w:themeColor="text1"/>
          <w:kern w:val="0"/>
          <w:lang w:eastAsia="es-AR"/>
          <w14:ligatures w14:val="none"/>
        </w:rPr>
        <w:t>.</w:t>
      </w:r>
    </w:p>
    <w:p w14:paraId="71FFA95B" w14:textId="4CF0E5EC" w:rsidR="00943699" w:rsidRPr="00943699" w:rsidRDefault="00943699" w:rsidP="00943699">
      <w:pPr>
        <w:spacing w:after="0" w:line="276" w:lineRule="auto"/>
        <w:jc w:val="center"/>
        <w:rPr>
          <w:rFonts w:ascii="Times New Roman" w:eastAsia="Times New Roman" w:hAnsi="Times New Roman" w:cs="Times New Roman"/>
          <w:b/>
          <w:bCs/>
          <w:kern w:val="0"/>
          <w:sz w:val="22"/>
          <w:szCs w:val="22"/>
          <w:lang w:eastAsia="it-IT"/>
          <w14:ligatures w14:val="none"/>
        </w:rPr>
      </w:pPr>
      <w:r w:rsidRPr="00943699">
        <w:rPr>
          <w:rFonts w:ascii="Times New Roman" w:eastAsia="Times New Roman" w:hAnsi="Times New Roman" w:cs="Times New Roman"/>
          <w:b/>
          <w:bCs/>
          <w:kern w:val="0"/>
          <w:sz w:val="22"/>
          <w:szCs w:val="22"/>
          <w:lang w:eastAsia="it-IT"/>
          <w14:ligatures w14:val="none"/>
        </w:rPr>
        <w:t>“PADECIMIENTO DE ALGÚN TIPO DE VIOLENCIA ÚLTIMOS 12 MESES”</w:t>
      </w:r>
    </w:p>
    <w:p w14:paraId="6ED5914B" w14:textId="19BDB657" w:rsidR="00943699" w:rsidRDefault="00943699" w:rsidP="00943699">
      <w:pPr>
        <w:jc w:val="center"/>
        <w:rPr>
          <w:rFonts w:ascii="Times New Roman" w:hAnsi="Times New Roman" w:cs="Times New Roman"/>
          <w:i/>
          <w:iCs/>
          <w:color w:val="000000"/>
          <w:sz w:val="18"/>
          <w:szCs w:val="18"/>
        </w:rPr>
      </w:pPr>
      <w:r w:rsidRPr="00943699">
        <w:rPr>
          <w:rFonts w:ascii="Times New Roman" w:hAnsi="Times New Roman" w:cs="Times New Roman"/>
          <w:i/>
          <w:iCs/>
          <w:color w:val="000000"/>
          <w:sz w:val="18"/>
          <w:szCs w:val="18"/>
        </w:rPr>
        <w:t>¿Alguna vez ha sufrido algún tipo de violencia (ya sea física o psicológica) en el último año?</w:t>
      </w:r>
    </w:p>
    <w:p w14:paraId="349AB478" w14:textId="1E08DA8F" w:rsidR="00943699" w:rsidRDefault="00943699" w:rsidP="00943699">
      <w:pPr>
        <w:jc w:val="center"/>
        <w:rPr>
          <w:rFonts w:ascii="Times New Roman" w:hAnsi="Times New Roman" w:cs="Times New Roman"/>
          <w:i/>
          <w:iCs/>
          <w:color w:val="000000"/>
          <w:sz w:val="18"/>
          <w:szCs w:val="18"/>
        </w:rPr>
      </w:pPr>
      <w:r w:rsidRPr="00943699">
        <w:rPr>
          <w:rFonts w:ascii="Times New Roman" w:eastAsia="Times New Roman" w:hAnsi="Times New Roman" w:cs="Times New Roman"/>
          <w:noProof/>
          <w:color w:val="156082" w:themeColor="accent1"/>
          <w:kern w:val="0"/>
          <w:sz w:val="22"/>
          <w:szCs w:val="22"/>
          <w:lang w:eastAsia="es-AR"/>
          <w14:ligatures w14:val="none"/>
        </w:rPr>
        <mc:AlternateContent>
          <mc:Choice Requires="wps">
            <w:drawing>
              <wp:anchor distT="0" distB="0" distL="114300" distR="114300" simplePos="0" relativeHeight="251663360" behindDoc="0" locked="0" layoutInCell="1" allowOverlap="1" wp14:anchorId="7363C047" wp14:editId="1FEBC006">
                <wp:simplePos x="0" y="0"/>
                <wp:positionH relativeFrom="margin">
                  <wp:posOffset>2129790</wp:posOffset>
                </wp:positionH>
                <wp:positionV relativeFrom="paragraph">
                  <wp:posOffset>5080</wp:posOffset>
                </wp:positionV>
                <wp:extent cx="1076325" cy="542925"/>
                <wp:effectExtent l="0" t="0" r="0" b="9525"/>
                <wp:wrapNone/>
                <wp:docPr id="1819949899" name="Google Shape;535;p31"/>
                <wp:cNvGraphicFramePr/>
                <a:graphic xmlns:a="http://schemas.openxmlformats.org/drawingml/2006/main">
                  <a:graphicData uri="http://schemas.microsoft.com/office/word/2010/wordprocessingShape">
                    <wps:wsp>
                      <wps:cNvSpPr/>
                      <wps:spPr>
                        <a:xfrm>
                          <a:off x="0" y="0"/>
                          <a:ext cx="1076325" cy="542925"/>
                        </a:xfrm>
                        <a:prstGeom prst="rect">
                          <a:avLst/>
                        </a:prstGeom>
                        <a:noFill/>
                        <a:ln>
                          <a:noFill/>
                        </a:ln>
                      </wps:spPr>
                      <wps:txbx>
                        <w:txbxContent>
                          <w:p w14:paraId="40ECEF9C" w14:textId="529878CC" w:rsidR="00943699" w:rsidRDefault="00943699" w:rsidP="00943699">
                            <w:pPr>
                              <w:jc w:val="center"/>
                              <w:rPr>
                                <w:rFonts w:ascii="Times New Roman" w:eastAsia="Calibri" w:hAnsi="Times New Roman" w:cs="Times New Roman"/>
                                <w:b/>
                                <w:bCs/>
                                <w:color w:val="000000"/>
                                <w:sz w:val="20"/>
                                <w:szCs w:val="20"/>
                                <w:lang w:val="es-PE"/>
                              </w:rPr>
                            </w:pPr>
                            <w:r>
                              <w:rPr>
                                <w:rFonts w:ascii="Times New Roman" w:eastAsia="Calibri" w:hAnsi="Times New Roman" w:cs="Times New Roman"/>
                                <w:b/>
                                <w:bCs/>
                                <w:color w:val="000000"/>
                                <w:sz w:val="20"/>
                                <w:szCs w:val="20"/>
                                <w:lang w:val="es-PE"/>
                              </w:rPr>
                              <w:t>2025 – “SÍ”</w:t>
                            </w:r>
                          </w:p>
                          <w:p w14:paraId="6085D7A9" w14:textId="47EAB2AE" w:rsidR="00943699" w:rsidRPr="00943699" w:rsidRDefault="00943699" w:rsidP="00943699">
                            <w:pPr>
                              <w:jc w:val="center"/>
                              <w:rPr>
                                <w:rFonts w:ascii="Times New Roman" w:eastAsia="Calibri" w:hAnsi="Times New Roman" w:cs="Times New Roman"/>
                                <w:b/>
                                <w:bCs/>
                                <w:color w:val="000000"/>
                                <w:kern w:val="0"/>
                                <w:sz w:val="20"/>
                                <w:szCs w:val="20"/>
                                <w:lang w:val="es-PE"/>
                                <w14:ligatures w14:val="none"/>
                              </w:rPr>
                            </w:pPr>
                            <w:r>
                              <w:rPr>
                                <w:rFonts w:ascii="Times New Roman" w:eastAsia="Calibri" w:hAnsi="Times New Roman" w:cs="Times New Roman"/>
                                <w:b/>
                                <w:bCs/>
                                <w:color w:val="000000"/>
                                <w:sz w:val="20"/>
                                <w:szCs w:val="20"/>
                                <w:lang w:val="es-PE"/>
                              </w:rPr>
                              <w:t>TOP 1</w:t>
                            </w:r>
                            <w:r w:rsidR="000942D0">
                              <w:rPr>
                                <w:rFonts w:ascii="Times New Roman" w:eastAsia="Calibri" w:hAnsi="Times New Roman" w:cs="Times New Roman"/>
                                <w:b/>
                                <w:bCs/>
                                <w:color w:val="000000"/>
                                <w:sz w:val="20"/>
                                <w:szCs w:val="20"/>
                                <w:lang w:val="es-PE"/>
                              </w:rPr>
                              <w:t>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63C047" id="Google Shape;535;p31" o:spid="_x0000_s1026" style="position:absolute;left:0;text-align:left;margin-left:167.7pt;margin-top:.4pt;width:84.75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9SYrQEAAE4DAAAOAAAAZHJzL2Uyb0RvYy54bWysU1GP0zAMfkfiP0R5Z23HdsdV606I0xDS&#10;CSYd/IAsTdZIaRLsbO3+PU662wa8IV5Sx3Y/f/7srB7H3rKjAjTeNbyalZwpJ31r3L7hP75v3n3g&#10;DKNwrbDeqYafFPLH9ds3qyHUau47b1sFjEAc1kNoeBdjqIsCZad6gTMflKOg9tCLSFfYFy2IgdB7&#10;W8zL8q4YPLQBvFSI5H2agnyd8bVWMn7TGlVktuHELeYT8rlLZ7FeiXoPInRGnmmIf2DRC+Oo6AXq&#10;SUTBDmD+guqNBI9ex5n0feG1NlLlHqibqvyjm5dOBJV7IXEwXGTC/wcrvx5fwhZIhiFgjWSmLkYN&#10;ffoSPzZmsU4XsdQYmSRnVd7fvZ8vOZMUWy7mD2QTTHH9OwDGz8r3LBkNBxpG1kgcnzFOqa8pqZjz&#10;G2NtHoh1vzkIM3mKK8VkxXE3nnnvfHvaAsMgN4ZqPQuMWwE0yIqzgYbbcPx5EKA4s18cqfdQLRLz&#10;mC+L5X1JqwG3kd1tRDjZedqZyNlkfop5gyaOHw/Ra5P7SawmKmeyNLSsyHnB0lbc3nPW9RmsfwEA&#10;AP//AwBQSwMEFAAGAAgAAAAhAFSnFHHZAAAABwEAAA8AAABkcnMvZG93bnJldi54bWxMj81OwzAQ&#10;hO9IvIO1SNyoXfIjCHEqhODAkbQHjm68JBH2OoqdNn17lhMcRzOa+aberd6JE85xDKRhu1EgkLpg&#10;R+o1HPZvdw8gYjJkjQuEGi4YYddcX9WmsuFMH3hqUy+4hGJlNAwpTZWUsRvQm7gJExJ7X2H2JrGc&#10;e2lnc+Zy7+S9UqX0ZiReGMyELwN23+3iNUzo7OLyVn128nWmbfm+l5dC69ub9fkJRMI1/YXhF5/R&#10;oWGmY1jIRuE0ZFmRc1QDH2C7UPkjiCPLMgPZ1PI/f/MDAAD//wMAUEsBAi0AFAAGAAgAAAAhALaD&#10;OJL+AAAA4QEAABMAAAAAAAAAAAAAAAAAAAAAAFtDb250ZW50X1R5cGVzXS54bWxQSwECLQAUAAYA&#10;CAAAACEAOP0h/9YAAACUAQAACwAAAAAAAAAAAAAAAAAvAQAAX3JlbHMvLnJlbHNQSwECLQAUAAYA&#10;CAAAACEAiNPUmK0BAABOAwAADgAAAAAAAAAAAAAAAAAuAgAAZHJzL2Uyb0RvYy54bWxQSwECLQAU&#10;AAYACAAAACEAVKcUcdkAAAAHAQAADwAAAAAAAAAAAAAAAAAHBAAAZHJzL2Rvd25yZXYueG1sUEsF&#10;BgAAAAAEAAQA8wAAAA0FAAAAAA==&#10;" filled="f" stroked="f">
                <v:textbox inset="2.53958mm,1.2694mm,2.53958mm,1.2694mm">
                  <w:txbxContent>
                    <w:p w14:paraId="40ECEF9C" w14:textId="529878CC" w:rsidR="00943699" w:rsidRDefault="00943699" w:rsidP="00943699">
                      <w:pPr>
                        <w:jc w:val="center"/>
                        <w:rPr>
                          <w:rFonts w:ascii="Times New Roman" w:eastAsia="Calibri" w:hAnsi="Times New Roman" w:cs="Times New Roman"/>
                          <w:b/>
                          <w:bCs/>
                          <w:color w:val="000000"/>
                          <w:sz w:val="20"/>
                          <w:szCs w:val="20"/>
                          <w:lang w:val="es-PE"/>
                        </w:rPr>
                      </w:pPr>
                      <w:r>
                        <w:rPr>
                          <w:rFonts w:ascii="Times New Roman" w:eastAsia="Calibri" w:hAnsi="Times New Roman" w:cs="Times New Roman"/>
                          <w:b/>
                          <w:bCs/>
                          <w:color w:val="000000"/>
                          <w:sz w:val="20"/>
                          <w:szCs w:val="20"/>
                          <w:lang w:val="es-PE"/>
                        </w:rPr>
                        <w:t>2025 – “SÍ”</w:t>
                      </w:r>
                    </w:p>
                    <w:p w14:paraId="6085D7A9" w14:textId="47EAB2AE" w:rsidR="00943699" w:rsidRPr="00943699" w:rsidRDefault="00943699" w:rsidP="00943699">
                      <w:pPr>
                        <w:jc w:val="center"/>
                        <w:rPr>
                          <w:rFonts w:ascii="Times New Roman" w:eastAsia="Calibri" w:hAnsi="Times New Roman" w:cs="Times New Roman"/>
                          <w:b/>
                          <w:bCs/>
                          <w:color w:val="000000"/>
                          <w:kern w:val="0"/>
                          <w:sz w:val="20"/>
                          <w:szCs w:val="20"/>
                          <w:lang w:val="es-PE"/>
                          <w14:ligatures w14:val="none"/>
                        </w:rPr>
                      </w:pPr>
                      <w:r>
                        <w:rPr>
                          <w:rFonts w:ascii="Times New Roman" w:eastAsia="Calibri" w:hAnsi="Times New Roman" w:cs="Times New Roman"/>
                          <w:b/>
                          <w:bCs/>
                          <w:color w:val="000000"/>
                          <w:sz w:val="20"/>
                          <w:szCs w:val="20"/>
                          <w:lang w:val="es-PE"/>
                        </w:rPr>
                        <w:t>TOP 1</w:t>
                      </w:r>
                      <w:r w:rsidR="000942D0">
                        <w:rPr>
                          <w:rFonts w:ascii="Times New Roman" w:eastAsia="Calibri" w:hAnsi="Times New Roman" w:cs="Times New Roman"/>
                          <w:b/>
                          <w:bCs/>
                          <w:color w:val="000000"/>
                          <w:sz w:val="20"/>
                          <w:szCs w:val="20"/>
                          <w:lang w:val="es-PE"/>
                        </w:rPr>
                        <w:t>5</w:t>
                      </w:r>
                    </w:p>
                  </w:txbxContent>
                </v:textbox>
                <w10:wrap anchorx="margin"/>
              </v:rect>
            </w:pict>
          </mc:Fallback>
        </mc:AlternateContent>
      </w:r>
    </w:p>
    <w:p w14:paraId="711BB94F" w14:textId="677CA9E3" w:rsidR="00943699" w:rsidRPr="00943699" w:rsidRDefault="00943699" w:rsidP="00943699">
      <w:pPr>
        <w:jc w:val="center"/>
        <w:rPr>
          <w:rFonts w:ascii="Times New Roman" w:hAnsi="Times New Roman" w:cs="Times New Roman"/>
          <w:i/>
          <w:iCs/>
          <w:color w:val="000000"/>
          <w:sz w:val="18"/>
          <w:szCs w:val="18"/>
        </w:rPr>
      </w:pPr>
    </w:p>
    <w:p w14:paraId="37812F48" w14:textId="63D8F04C" w:rsidR="00943699" w:rsidRDefault="000942D0" w:rsidP="00943699">
      <w:pPr>
        <w:spacing w:before="100" w:beforeAutospacing="1" w:after="100" w:afterAutospacing="1" w:line="240" w:lineRule="auto"/>
        <w:jc w:val="center"/>
        <w:rPr>
          <w:rFonts w:ascii="Times New Roman" w:eastAsia="Times New Roman" w:hAnsi="Times New Roman" w:cs="Times New Roman"/>
          <w:color w:val="156082" w:themeColor="accent1"/>
          <w:kern w:val="0"/>
          <w:lang w:eastAsia="es-AR"/>
          <w14:ligatures w14:val="none"/>
        </w:rPr>
      </w:pPr>
      <w:r w:rsidRPr="000942D0">
        <w:rPr>
          <w:rFonts w:ascii="Times New Roman" w:eastAsia="Times New Roman" w:hAnsi="Times New Roman" w:cs="Times New Roman"/>
          <w:noProof/>
          <w:color w:val="156082" w:themeColor="accent1"/>
          <w:kern w:val="0"/>
          <w:lang w:eastAsia="es-AR"/>
          <w14:ligatures w14:val="none"/>
        </w:rPr>
        <w:drawing>
          <wp:inline distT="0" distB="0" distL="0" distR="0" wp14:anchorId="1487764B" wp14:editId="031A3A64">
            <wp:extent cx="2875915" cy="3638550"/>
            <wp:effectExtent l="0" t="0" r="635" b="0"/>
            <wp:docPr id="62509152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C322DB7" w14:textId="182643A5" w:rsidR="00943699" w:rsidRPr="00402CAD" w:rsidRDefault="00943699" w:rsidP="00402CAD">
      <w:pPr>
        <w:spacing w:before="100" w:beforeAutospacing="1" w:after="100" w:afterAutospacing="1" w:line="240" w:lineRule="auto"/>
        <w:jc w:val="center"/>
        <w:rPr>
          <w:rFonts w:ascii="Times New Roman" w:eastAsia="Times New Roman" w:hAnsi="Times New Roman" w:cs="Times New Roman"/>
          <w:color w:val="156082" w:themeColor="accent1"/>
          <w:kern w:val="0"/>
          <w:lang w:eastAsia="es-AR"/>
          <w14:ligatures w14:val="none"/>
        </w:rPr>
      </w:pPr>
      <w:r>
        <w:rPr>
          <w:rFonts w:ascii="Calibri" w:eastAsia="Calibri" w:hAnsi="Calibri" w:cs="Calibri"/>
          <w:color w:val="000000"/>
          <w:sz w:val="18"/>
          <w:szCs w:val="18"/>
          <w:lang w:val="es-ES"/>
        </w:rPr>
        <w:t>Encuesta Global de WIN. VOICES! en Argentina. Base Mujeres</w:t>
      </w:r>
    </w:p>
    <w:p w14:paraId="436470EF" w14:textId="2A4F36A6" w:rsidR="00843EB7" w:rsidRPr="007C62B7" w:rsidRDefault="007C62B7" w:rsidP="0009790B">
      <w:pPr>
        <w:spacing w:before="100" w:beforeAutospacing="1" w:after="100" w:afterAutospacing="1" w:line="240" w:lineRule="auto"/>
        <w:jc w:val="both"/>
        <w:rPr>
          <w:rFonts w:ascii="Times New Roman" w:eastAsia="Times New Roman" w:hAnsi="Times New Roman" w:cs="Times New Roman"/>
          <w:i/>
          <w:iCs/>
          <w:kern w:val="0"/>
          <w:lang w:eastAsia="es-AR"/>
          <w14:ligatures w14:val="none"/>
        </w:rPr>
      </w:pPr>
      <w:r w:rsidRPr="007C62B7">
        <w:rPr>
          <w:rFonts w:ascii="Times New Roman" w:eastAsia="Times New Roman" w:hAnsi="Times New Roman" w:cs="Times New Roman"/>
          <w:kern w:val="0"/>
          <w:lang w:eastAsia="es-AR"/>
          <w14:ligatures w14:val="none"/>
        </w:rPr>
        <w:lastRenderedPageBreak/>
        <w:t>Constanza Cilley, responsable del estudio en la Argentina señala que</w:t>
      </w:r>
      <w:r w:rsidRPr="007C62B7">
        <w:rPr>
          <w:rFonts w:ascii="Times New Roman" w:eastAsia="Times New Roman" w:hAnsi="Times New Roman" w:cs="Times New Roman"/>
          <w:i/>
          <w:iCs/>
          <w:kern w:val="0"/>
          <w:lang w:eastAsia="es-AR"/>
          <w14:ligatures w14:val="none"/>
        </w:rPr>
        <w:t xml:space="preserve"> "Los datos de Argentina reflejan una marcada brecha de género en la distribución de las tareas domésticas y una persistente desigualdad en el hogar. Aunque tres de cada cuatro personas creen que la igualdad se ha logrado en este ámbito, la realidad muestra que las mujeres siguen asumiendo la mayor parte del trabajo doméstico. </w:t>
      </w:r>
      <w:proofErr w:type="spellStart"/>
      <w:proofErr w:type="gramStart"/>
      <w:r w:rsidRPr="007C62B7">
        <w:rPr>
          <w:rFonts w:ascii="Times New Roman" w:eastAsia="Times New Roman" w:hAnsi="Times New Roman" w:cs="Times New Roman"/>
          <w:i/>
          <w:iCs/>
          <w:kern w:val="0"/>
          <w:lang w:eastAsia="es-AR"/>
          <w14:ligatures w14:val="none"/>
        </w:rPr>
        <w:t>Además,</w:t>
      </w:r>
      <w:r w:rsidR="00EE7713">
        <w:rPr>
          <w:rFonts w:ascii="Times New Roman" w:eastAsia="Times New Roman" w:hAnsi="Times New Roman" w:cs="Times New Roman"/>
          <w:i/>
          <w:iCs/>
          <w:kern w:val="0"/>
          <w:lang w:eastAsia="es-AR"/>
          <w14:ligatures w14:val="none"/>
        </w:rPr>
        <w:t>un</w:t>
      </w:r>
      <w:proofErr w:type="spellEnd"/>
      <w:proofErr w:type="gramEnd"/>
      <w:r w:rsidR="00EE7713">
        <w:rPr>
          <w:rFonts w:ascii="Times New Roman" w:eastAsia="Times New Roman" w:hAnsi="Times New Roman" w:cs="Times New Roman"/>
          <w:i/>
          <w:iCs/>
          <w:kern w:val="0"/>
          <w:lang w:eastAsia="es-AR"/>
          <w14:ligatures w14:val="none"/>
        </w:rPr>
        <w:t xml:space="preserve"> dato central es que </w:t>
      </w:r>
      <w:r w:rsidRPr="007C62B7">
        <w:rPr>
          <w:rFonts w:ascii="Times New Roman" w:eastAsia="Times New Roman" w:hAnsi="Times New Roman" w:cs="Times New Roman"/>
          <w:i/>
          <w:iCs/>
          <w:kern w:val="0"/>
          <w:lang w:eastAsia="es-AR"/>
          <w14:ligatures w14:val="none"/>
        </w:rPr>
        <w:t xml:space="preserve"> nuestro país encabeza la lista global de violencia de género, con un 39% de mujeres reportando haber sufrido violencia física o psicológica</w:t>
      </w:r>
      <w:r w:rsidR="00FC1D88">
        <w:rPr>
          <w:rFonts w:ascii="Times New Roman" w:eastAsia="Times New Roman" w:hAnsi="Times New Roman" w:cs="Times New Roman"/>
          <w:i/>
          <w:iCs/>
          <w:kern w:val="0"/>
          <w:lang w:eastAsia="es-AR"/>
          <w14:ligatures w14:val="none"/>
        </w:rPr>
        <w:t xml:space="preserve"> en el último año</w:t>
      </w:r>
      <w:r w:rsidRPr="007C62B7">
        <w:rPr>
          <w:rFonts w:ascii="Times New Roman" w:eastAsia="Times New Roman" w:hAnsi="Times New Roman" w:cs="Times New Roman"/>
          <w:i/>
          <w:iCs/>
          <w:kern w:val="0"/>
          <w:lang w:eastAsia="es-AR"/>
          <w14:ligatures w14:val="none"/>
        </w:rPr>
        <w:t>. Estos hallazgos subrayan la distancia entre percepción y realidad, y la urgencia de políticas que traduzcan los avances en igualdad en cambios concretos en la vida cotidiana."</w:t>
      </w:r>
    </w:p>
    <w:p w14:paraId="28C15A86" w14:textId="3BF048EF" w:rsidR="008334FF" w:rsidRDefault="008334FF" w:rsidP="0009790B">
      <w:pPr>
        <w:spacing w:before="100" w:beforeAutospacing="1" w:after="100" w:afterAutospacing="1" w:line="240" w:lineRule="auto"/>
        <w:jc w:val="both"/>
        <w:rPr>
          <w:rFonts w:ascii="Times New Roman" w:eastAsia="Times New Roman" w:hAnsi="Times New Roman" w:cs="Times New Roman"/>
          <w:i/>
          <w:iCs/>
          <w:kern w:val="0"/>
          <w:lang w:eastAsia="es-AR"/>
          <w14:ligatures w14:val="none"/>
        </w:rPr>
      </w:pPr>
      <w:r w:rsidRPr="00EE7713">
        <w:rPr>
          <w:rFonts w:ascii="Times New Roman" w:eastAsia="Times New Roman" w:hAnsi="Times New Roman" w:cs="Times New Roman"/>
          <w:kern w:val="0"/>
          <w:lang w:eastAsia="es-AR"/>
          <w14:ligatures w14:val="none"/>
        </w:rPr>
        <w:t xml:space="preserve">Richard </w:t>
      </w:r>
      <w:proofErr w:type="spellStart"/>
      <w:r w:rsidRPr="00EE7713">
        <w:rPr>
          <w:rFonts w:ascii="Times New Roman" w:eastAsia="Times New Roman" w:hAnsi="Times New Roman" w:cs="Times New Roman"/>
          <w:kern w:val="0"/>
          <w:lang w:eastAsia="es-AR"/>
          <w14:ligatures w14:val="none"/>
        </w:rPr>
        <w:t>Colwell</w:t>
      </w:r>
      <w:proofErr w:type="spellEnd"/>
      <w:r w:rsidRPr="00EE7713">
        <w:rPr>
          <w:rFonts w:ascii="Times New Roman" w:eastAsia="Times New Roman" w:hAnsi="Times New Roman" w:cs="Times New Roman"/>
          <w:kern w:val="0"/>
          <w:lang w:eastAsia="es-AR"/>
          <w14:ligatures w14:val="none"/>
        </w:rPr>
        <w:t xml:space="preserve">, presidente de WIN International </w:t>
      </w:r>
      <w:proofErr w:type="spellStart"/>
      <w:r w:rsidRPr="00EE7713">
        <w:rPr>
          <w:rFonts w:ascii="Times New Roman" w:eastAsia="Times New Roman" w:hAnsi="Times New Roman" w:cs="Times New Roman"/>
          <w:kern w:val="0"/>
          <w:lang w:eastAsia="es-AR"/>
          <w14:ligatures w14:val="none"/>
        </w:rPr>
        <w:t>Association</w:t>
      </w:r>
      <w:proofErr w:type="spellEnd"/>
      <w:r w:rsidRPr="00EE7713">
        <w:rPr>
          <w:rFonts w:ascii="Times New Roman" w:eastAsia="Times New Roman" w:hAnsi="Times New Roman" w:cs="Times New Roman"/>
          <w:kern w:val="0"/>
          <w:lang w:eastAsia="es-AR"/>
          <w14:ligatures w14:val="none"/>
        </w:rPr>
        <w:t xml:space="preserve">, </w:t>
      </w:r>
      <w:proofErr w:type="spellStart"/>
      <w:r w:rsidRPr="00EE7713">
        <w:rPr>
          <w:rFonts w:ascii="Times New Roman" w:eastAsia="Times New Roman" w:hAnsi="Times New Roman" w:cs="Times New Roman"/>
          <w:kern w:val="0"/>
          <w:lang w:eastAsia="es-AR"/>
          <w14:ligatures w14:val="none"/>
        </w:rPr>
        <w:t>comentó:</w:t>
      </w:r>
      <w:r w:rsidRPr="008334FF">
        <w:rPr>
          <w:rFonts w:ascii="Times New Roman" w:eastAsia="Times New Roman" w:hAnsi="Times New Roman" w:cs="Times New Roman"/>
          <w:i/>
          <w:iCs/>
          <w:kern w:val="0"/>
          <w:lang w:eastAsia="es-AR"/>
          <w14:ligatures w14:val="none"/>
        </w:rPr>
        <w:t>"Los</w:t>
      </w:r>
      <w:proofErr w:type="spellEnd"/>
      <w:r w:rsidRPr="008334FF">
        <w:rPr>
          <w:rFonts w:ascii="Times New Roman" w:eastAsia="Times New Roman" w:hAnsi="Times New Roman" w:cs="Times New Roman"/>
          <w:i/>
          <w:iCs/>
          <w:kern w:val="0"/>
          <w:lang w:eastAsia="es-AR"/>
          <w14:ligatures w14:val="none"/>
        </w:rPr>
        <w:t xml:space="preserve"> hallazgos de esta investigación evidencian una marcada brecha entre la percepción de igualdad de género y las realidades que viven las mujeres. Estas cifras inquietantes nos recuerdan que la seguridad y la desigualdad siguen siendo problemas urgentes a nivel global. Desde WIN, esperamos </w:t>
      </w:r>
      <w:r w:rsidR="00FC1D88" w:rsidRPr="008334FF">
        <w:rPr>
          <w:rFonts w:ascii="Times New Roman" w:eastAsia="Times New Roman" w:hAnsi="Times New Roman" w:cs="Times New Roman"/>
          <w:i/>
          <w:iCs/>
          <w:kern w:val="0"/>
          <w:lang w:eastAsia="es-AR"/>
          <w14:ligatures w14:val="none"/>
        </w:rPr>
        <w:t>que,</w:t>
      </w:r>
      <w:r w:rsidRPr="008334FF">
        <w:rPr>
          <w:rFonts w:ascii="Times New Roman" w:eastAsia="Times New Roman" w:hAnsi="Times New Roman" w:cs="Times New Roman"/>
          <w:i/>
          <w:iCs/>
          <w:kern w:val="0"/>
          <w:lang w:eastAsia="es-AR"/>
          <w14:ligatures w14:val="none"/>
        </w:rPr>
        <w:t xml:space="preserve"> al arrojar luz sobre estos desafíos, podamos fomentar conversaciones, aumentar la conc</w:t>
      </w:r>
      <w:r w:rsidR="00FC1D88">
        <w:rPr>
          <w:rFonts w:ascii="Times New Roman" w:eastAsia="Times New Roman" w:hAnsi="Times New Roman" w:cs="Times New Roman"/>
          <w:i/>
          <w:iCs/>
          <w:kern w:val="0"/>
          <w:lang w:eastAsia="es-AR"/>
          <w14:ligatures w14:val="none"/>
        </w:rPr>
        <w:t xml:space="preserve">ientización </w:t>
      </w:r>
      <w:r w:rsidRPr="008334FF">
        <w:rPr>
          <w:rFonts w:ascii="Times New Roman" w:eastAsia="Times New Roman" w:hAnsi="Times New Roman" w:cs="Times New Roman"/>
          <w:i/>
          <w:iCs/>
          <w:kern w:val="0"/>
          <w:lang w:eastAsia="es-AR"/>
          <w14:ligatures w14:val="none"/>
        </w:rPr>
        <w:t>y promover avances tangibles hacia un mundo más seguro y justo para todas las mujeres.”</w:t>
      </w:r>
    </w:p>
    <w:p w14:paraId="61621B1E" w14:textId="77777777" w:rsidR="00EE7713" w:rsidRDefault="00EE7713" w:rsidP="0009790B">
      <w:pPr>
        <w:spacing w:before="100" w:beforeAutospacing="1" w:after="100" w:afterAutospacing="1" w:line="240" w:lineRule="auto"/>
        <w:jc w:val="both"/>
        <w:rPr>
          <w:rFonts w:ascii="Times New Roman" w:eastAsia="Times New Roman" w:hAnsi="Times New Roman" w:cs="Times New Roman"/>
          <w:i/>
          <w:iCs/>
          <w:kern w:val="0"/>
          <w:lang w:eastAsia="es-AR"/>
          <w14:ligatures w14:val="none"/>
        </w:rPr>
      </w:pPr>
    </w:p>
    <w:p w14:paraId="00A85BEF" w14:textId="77777777" w:rsidR="00402CAD" w:rsidRPr="00402CAD" w:rsidRDefault="00402CAD" w:rsidP="00402CAD">
      <w:pPr>
        <w:jc w:val="both"/>
        <w:rPr>
          <w:rFonts w:ascii="Times New Roman" w:eastAsia="Times New Roman" w:hAnsi="Times New Roman" w:cs="Times New Roman"/>
          <w:b/>
          <w:bCs/>
          <w:kern w:val="0"/>
          <w:lang w:eastAsia="es-AR"/>
          <w14:ligatures w14:val="none"/>
        </w:rPr>
      </w:pPr>
      <w:r w:rsidRPr="00402CAD">
        <w:rPr>
          <w:rFonts w:ascii="Times New Roman" w:eastAsia="Times New Roman" w:hAnsi="Times New Roman" w:cs="Times New Roman"/>
          <w:b/>
          <w:bCs/>
          <w:kern w:val="0"/>
          <w:lang w:eastAsia="es-AR"/>
          <w14:ligatures w14:val="none"/>
        </w:rPr>
        <w:t>CONTACTO</w:t>
      </w:r>
    </w:p>
    <w:p w14:paraId="55DBA0B6" w14:textId="77777777" w:rsidR="00402CAD" w:rsidRPr="00402CAD" w:rsidRDefault="00402CAD" w:rsidP="00402CAD">
      <w:pPr>
        <w:jc w:val="both"/>
        <w:rPr>
          <w:rFonts w:ascii="Times New Roman" w:eastAsia="Times New Roman" w:hAnsi="Times New Roman" w:cs="Times New Roman"/>
          <w:kern w:val="0"/>
          <w:lang w:eastAsia="es-AR"/>
          <w14:ligatures w14:val="none"/>
        </w:rPr>
      </w:pPr>
      <w:r w:rsidRPr="00402CAD">
        <w:rPr>
          <w:rFonts w:ascii="Times New Roman" w:eastAsia="Times New Roman" w:hAnsi="Times New Roman" w:cs="Times New Roman"/>
          <w:kern w:val="0"/>
          <w:lang w:eastAsia="es-AR"/>
          <w14:ligatures w14:val="none"/>
        </w:rPr>
        <w:t xml:space="preserve">Constanza Cilley | </w:t>
      </w:r>
      <w:proofErr w:type="gramStart"/>
      <w:r w:rsidRPr="00402CAD">
        <w:rPr>
          <w:rFonts w:ascii="Times New Roman" w:eastAsia="Times New Roman" w:hAnsi="Times New Roman" w:cs="Times New Roman"/>
          <w:kern w:val="0"/>
          <w:lang w:eastAsia="es-AR"/>
          <w14:ligatures w14:val="none"/>
        </w:rPr>
        <w:t>Directora Ejecutiva</w:t>
      </w:r>
      <w:proofErr w:type="gramEnd"/>
      <w:r w:rsidRPr="00402CAD">
        <w:rPr>
          <w:rFonts w:ascii="Times New Roman" w:eastAsia="Times New Roman" w:hAnsi="Times New Roman" w:cs="Times New Roman"/>
          <w:kern w:val="0"/>
          <w:lang w:eastAsia="es-AR"/>
          <w14:ligatures w14:val="none"/>
        </w:rPr>
        <w:t xml:space="preserve"> VOICES!</w:t>
      </w:r>
    </w:p>
    <w:p w14:paraId="65B14B7F" w14:textId="4DD485E8" w:rsidR="00402CAD" w:rsidRPr="00402CAD" w:rsidRDefault="00402CAD" w:rsidP="00402CAD">
      <w:pPr>
        <w:jc w:val="both"/>
        <w:rPr>
          <w:rFonts w:ascii="Times New Roman" w:eastAsia="Times New Roman" w:hAnsi="Times New Roman" w:cs="Times New Roman"/>
          <w:kern w:val="0"/>
          <w:lang w:eastAsia="es-AR"/>
          <w14:ligatures w14:val="none"/>
        </w:rPr>
      </w:pPr>
      <w:hyperlink r:id="rId7" w:history="1">
        <w:r w:rsidRPr="00415E96">
          <w:rPr>
            <w:rStyle w:val="Hipervnculo"/>
            <w:rFonts w:ascii="Times New Roman" w:eastAsia="Times New Roman" w:hAnsi="Times New Roman" w:cs="Times New Roman"/>
            <w:kern w:val="0"/>
            <w:lang w:eastAsia="es-AR"/>
            <w14:ligatures w14:val="none"/>
          </w:rPr>
          <w:t>constanzacilley@voicesconsultancy.com</w:t>
        </w:r>
      </w:hyperlink>
      <w:r>
        <w:rPr>
          <w:rFonts w:ascii="Times New Roman" w:eastAsia="Times New Roman" w:hAnsi="Times New Roman" w:cs="Times New Roman"/>
          <w:kern w:val="0"/>
          <w:lang w:eastAsia="es-AR"/>
          <w14:ligatures w14:val="none"/>
        </w:rPr>
        <w:t xml:space="preserve"> </w:t>
      </w:r>
    </w:p>
    <w:p w14:paraId="488EA195" w14:textId="5DAA2339" w:rsidR="00D5025C" w:rsidRPr="00402CAD" w:rsidRDefault="00402CAD" w:rsidP="00402CAD">
      <w:pPr>
        <w:jc w:val="both"/>
      </w:pPr>
      <w:r w:rsidRPr="00402CAD">
        <w:rPr>
          <w:rFonts w:ascii="Times New Roman" w:eastAsia="Times New Roman" w:hAnsi="Times New Roman" w:cs="Times New Roman"/>
          <w:kern w:val="0"/>
          <w:lang w:eastAsia="es-AR"/>
          <w14:ligatures w14:val="none"/>
        </w:rPr>
        <w:t>Cel: 1565724467</w:t>
      </w:r>
    </w:p>
    <w:sectPr w:rsidR="00D5025C" w:rsidRPr="00402CA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CA26E" w14:textId="77777777" w:rsidR="0052357F" w:rsidRDefault="0052357F" w:rsidP="0009790B">
      <w:pPr>
        <w:spacing w:after="0" w:line="240" w:lineRule="auto"/>
      </w:pPr>
      <w:r>
        <w:separator/>
      </w:r>
    </w:p>
  </w:endnote>
  <w:endnote w:type="continuationSeparator" w:id="0">
    <w:p w14:paraId="540E52BA" w14:textId="77777777" w:rsidR="0052357F" w:rsidRDefault="0052357F" w:rsidP="0009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89FF9" w14:textId="77777777" w:rsidR="0052357F" w:rsidRDefault="0052357F" w:rsidP="0009790B">
      <w:pPr>
        <w:spacing w:after="0" w:line="240" w:lineRule="auto"/>
      </w:pPr>
      <w:r>
        <w:separator/>
      </w:r>
    </w:p>
  </w:footnote>
  <w:footnote w:type="continuationSeparator" w:id="0">
    <w:p w14:paraId="3FB208BD" w14:textId="77777777" w:rsidR="0052357F" w:rsidRDefault="0052357F" w:rsidP="00097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184A" w14:textId="3CBBD24E" w:rsidR="0009790B" w:rsidRDefault="0009790B" w:rsidP="0009790B">
    <w:pPr>
      <w:pStyle w:val="Encabezado"/>
    </w:pPr>
    <w:r>
      <w:rPr>
        <w:noProof/>
      </w:rPr>
      <w:t xml:space="preserve"> </w:t>
    </w:r>
    <w:r>
      <w:rPr>
        <w:noProof/>
      </w:rPr>
      <w:drawing>
        <wp:inline distT="0" distB="0" distL="0" distR="0" wp14:anchorId="254ECFEC" wp14:editId="5B8B5BF6">
          <wp:extent cx="819150" cy="594995"/>
          <wp:effectExtent l="0" t="0" r="0" b="0"/>
          <wp:docPr id="845707350"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07350" name="Imagen 1" descr="Imagen que contiene dibuj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9150" cy="594995"/>
                  </a:xfrm>
                  <a:prstGeom prst="rect">
                    <a:avLst/>
                  </a:prstGeom>
                </pic:spPr>
              </pic:pic>
            </a:graphicData>
          </a:graphic>
        </wp:inline>
      </w:drawing>
    </w:r>
    <w:r>
      <w:rPr>
        <w:noProof/>
      </w:rPr>
      <w:t xml:space="preserve">                                                                                                     </w:t>
    </w:r>
    <w:r>
      <w:rPr>
        <w:noProof/>
      </w:rPr>
      <w:drawing>
        <wp:inline distT="0" distB="0" distL="0" distR="0" wp14:anchorId="07E0781D" wp14:editId="496CB41F">
          <wp:extent cx="1400175" cy="461010"/>
          <wp:effectExtent l="0" t="0" r="9525" b="0"/>
          <wp:docPr id="2" name="Picture 1" descr="Texto&#10;&#10;Descripción generada automáticamente">
            <a:extLst xmlns:a="http://schemas.openxmlformats.org/drawingml/2006/main">
              <a:ext uri="{FF2B5EF4-FFF2-40B4-BE49-F238E27FC236}">
                <a16:creationId xmlns:a16="http://schemas.microsoft.com/office/drawing/2014/main" id="{E9FD695D-2425-4E34-AFEE-768D7AAEE1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o&#10;&#10;Descripción generada automáticamente">
                    <a:extLst>
                      <a:ext uri="{FF2B5EF4-FFF2-40B4-BE49-F238E27FC236}">
                        <a16:creationId xmlns:a16="http://schemas.microsoft.com/office/drawing/2014/main" id="{E9FD695D-2425-4E34-AFEE-768D7AAEE157}"/>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00175" cy="461010"/>
                  </a:xfrm>
                  <a:prstGeom prst="rect">
                    <a:avLst/>
                  </a:prstGeom>
                </pic:spPr>
              </pic:pic>
            </a:graphicData>
          </a:graphic>
        </wp:inline>
      </w:drawing>
    </w:r>
  </w:p>
  <w:p w14:paraId="4C6368C1" w14:textId="77777777" w:rsidR="0009790B" w:rsidRDefault="0009790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FF"/>
    <w:rsid w:val="00000E20"/>
    <w:rsid w:val="00030F9B"/>
    <w:rsid w:val="00034E88"/>
    <w:rsid w:val="000806C7"/>
    <w:rsid w:val="00085941"/>
    <w:rsid w:val="000942D0"/>
    <w:rsid w:val="0009790B"/>
    <w:rsid w:val="00116180"/>
    <w:rsid w:val="00123463"/>
    <w:rsid w:val="001E13A3"/>
    <w:rsid w:val="002B4017"/>
    <w:rsid w:val="003857CE"/>
    <w:rsid w:val="003B7B83"/>
    <w:rsid w:val="003D5295"/>
    <w:rsid w:val="00402CAD"/>
    <w:rsid w:val="00430727"/>
    <w:rsid w:val="004C24C6"/>
    <w:rsid w:val="0052357F"/>
    <w:rsid w:val="005B1862"/>
    <w:rsid w:val="005E7418"/>
    <w:rsid w:val="00673E14"/>
    <w:rsid w:val="006B61C4"/>
    <w:rsid w:val="007C62B7"/>
    <w:rsid w:val="007F12AC"/>
    <w:rsid w:val="008334FF"/>
    <w:rsid w:val="00843EB7"/>
    <w:rsid w:val="00943699"/>
    <w:rsid w:val="009D7FCC"/>
    <w:rsid w:val="00A71288"/>
    <w:rsid w:val="00AA597B"/>
    <w:rsid w:val="00B07B65"/>
    <w:rsid w:val="00D5025C"/>
    <w:rsid w:val="00D51A37"/>
    <w:rsid w:val="00D543D6"/>
    <w:rsid w:val="00E94F6F"/>
    <w:rsid w:val="00EA7503"/>
    <w:rsid w:val="00EE31E9"/>
    <w:rsid w:val="00EE7713"/>
    <w:rsid w:val="00F751E0"/>
    <w:rsid w:val="00FC1D88"/>
    <w:rsid w:val="00FC4EBB"/>
    <w:rsid w:val="00FE0F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CF29"/>
  <w15:chartTrackingRefBased/>
  <w15:docId w15:val="{511732F2-DFAD-44A8-BA59-F576EC62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33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33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334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334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334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334F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334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334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334F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4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34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34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34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34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34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34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34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34FF"/>
    <w:rPr>
      <w:rFonts w:eastAsiaTheme="majorEastAsia" w:cstheme="majorBidi"/>
      <w:color w:val="272727" w:themeColor="text1" w:themeTint="D8"/>
    </w:rPr>
  </w:style>
  <w:style w:type="paragraph" w:styleId="Ttulo">
    <w:name w:val="Title"/>
    <w:basedOn w:val="Normal"/>
    <w:next w:val="Normal"/>
    <w:link w:val="TtuloCar"/>
    <w:uiPriority w:val="10"/>
    <w:qFormat/>
    <w:rsid w:val="00833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34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34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334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34FF"/>
    <w:pPr>
      <w:spacing w:before="160"/>
      <w:jc w:val="center"/>
    </w:pPr>
    <w:rPr>
      <w:i/>
      <w:iCs/>
      <w:color w:val="404040" w:themeColor="text1" w:themeTint="BF"/>
    </w:rPr>
  </w:style>
  <w:style w:type="character" w:customStyle="1" w:styleId="CitaCar">
    <w:name w:val="Cita Car"/>
    <w:basedOn w:val="Fuentedeprrafopredeter"/>
    <w:link w:val="Cita"/>
    <w:uiPriority w:val="29"/>
    <w:rsid w:val="008334FF"/>
    <w:rPr>
      <w:i/>
      <w:iCs/>
      <w:color w:val="404040" w:themeColor="text1" w:themeTint="BF"/>
    </w:rPr>
  </w:style>
  <w:style w:type="paragraph" w:styleId="Prrafodelista">
    <w:name w:val="List Paragraph"/>
    <w:basedOn w:val="Normal"/>
    <w:uiPriority w:val="34"/>
    <w:qFormat/>
    <w:rsid w:val="008334FF"/>
    <w:pPr>
      <w:ind w:left="720"/>
      <w:contextualSpacing/>
    </w:pPr>
  </w:style>
  <w:style w:type="character" w:styleId="nfasisintenso">
    <w:name w:val="Intense Emphasis"/>
    <w:basedOn w:val="Fuentedeprrafopredeter"/>
    <w:uiPriority w:val="21"/>
    <w:qFormat/>
    <w:rsid w:val="008334FF"/>
    <w:rPr>
      <w:i/>
      <w:iCs/>
      <w:color w:val="0F4761" w:themeColor="accent1" w:themeShade="BF"/>
    </w:rPr>
  </w:style>
  <w:style w:type="paragraph" w:styleId="Citadestacada">
    <w:name w:val="Intense Quote"/>
    <w:basedOn w:val="Normal"/>
    <w:next w:val="Normal"/>
    <w:link w:val="CitadestacadaCar"/>
    <w:uiPriority w:val="30"/>
    <w:qFormat/>
    <w:rsid w:val="00833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334FF"/>
    <w:rPr>
      <w:i/>
      <w:iCs/>
      <w:color w:val="0F4761" w:themeColor="accent1" w:themeShade="BF"/>
    </w:rPr>
  </w:style>
  <w:style w:type="character" w:styleId="Referenciaintensa">
    <w:name w:val="Intense Reference"/>
    <w:basedOn w:val="Fuentedeprrafopredeter"/>
    <w:uiPriority w:val="32"/>
    <w:qFormat/>
    <w:rsid w:val="008334FF"/>
    <w:rPr>
      <w:b/>
      <w:bCs/>
      <w:smallCaps/>
      <w:color w:val="0F4761" w:themeColor="accent1" w:themeShade="BF"/>
      <w:spacing w:val="5"/>
    </w:rPr>
  </w:style>
  <w:style w:type="table" w:styleId="Tablaconcuadrculaclara">
    <w:name w:val="Grid Table Light"/>
    <w:basedOn w:val="Tablanormal"/>
    <w:uiPriority w:val="40"/>
    <w:rsid w:val="00AA59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0979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790B"/>
  </w:style>
  <w:style w:type="paragraph" w:styleId="Piedepgina">
    <w:name w:val="footer"/>
    <w:basedOn w:val="Normal"/>
    <w:link w:val="PiedepginaCar"/>
    <w:uiPriority w:val="99"/>
    <w:unhideWhenUsed/>
    <w:rsid w:val="000979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790B"/>
  </w:style>
  <w:style w:type="character" w:styleId="Hipervnculo">
    <w:name w:val="Hyperlink"/>
    <w:basedOn w:val="Fuentedeprrafopredeter"/>
    <w:uiPriority w:val="99"/>
    <w:unhideWhenUsed/>
    <w:rsid w:val="00402CAD"/>
    <w:rPr>
      <w:color w:val="467886" w:themeColor="hyperlink"/>
      <w:u w:val="single"/>
    </w:rPr>
  </w:style>
  <w:style w:type="character" w:styleId="Mencinsinresolver">
    <w:name w:val="Unresolved Mention"/>
    <w:basedOn w:val="Fuentedeprrafopredeter"/>
    <w:uiPriority w:val="99"/>
    <w:semiHidden/>
    <w:unhideWhenUsed/>
    <w:rsid w:val="0040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591969">
      <w:bodyDiv w:val="1"/>
      <w:marLeft w:val="0"/>
      <w:marRight w:val="0"/>
      <w:marTop w:val="0"/>
      <w:marBottom w:val="0"/>
      <w:divBdr>
        <w:top w:val="none" w:sz="0" w:space="0" w:color="auto"/>
        <w:left w:val="none" w:sz="0" w:space="0" w:color="auto"/>
        <w:bottom w:val="none" w:sz="0" w:space="0" w:color="auto"/>
        <w:right w:val="none" w:sz="0" w:space="0" w:color="auto"/>
      </w:divBdr>
    </w:div>
    <w:div w:id="951783655">
      <w:bodyDiv w:val="1"/>
      <w:marLeft w:val="0"/>
      <w:marRight w:val="0"/>
      <w:marTop w:val="0"/>
      <w:marBottom w:val="0"/>
      <w:divBdr>
        <w:top w:val="none" w:sz="0" w:space="0" w:color="auto"/>
        <w:left w:val="none" w:sz="0" w:space="0" w:color="auto"/>
        <w:bottom w:val="none" w:sz="0" w:space="0" w:color="auto"/>
        <w:right w:val="none" w:sz="0" w:space="0" w:color="auto"/>
      </w:divBdr>
    </w:div>
    <w:div w:id="134312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nstanzacilley@voicesconsultanc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1153846153846155E-2"/>
          <c:y val="8.6538454986488864E-3"/>
          <c:w val="0.95769230769230773"/>
          <c:h val="0.98269230900270221"/>
        </c:manualLayout>
      </c:layout>
      <c:barChart>
        <c:barDir val="bar"/>
        <c:grouping val="percentStacked"/>
        <c:varyColors val="0"/>
        <c:ser>
          <c:idx val="0"/>
          <c:order val="0"/>
          <c:tx>
            <c:strRef>
              <c:f>Hoja1!$B$1</c:f>
              <c:strCache>
                <c:ptCount val="1"/>
                <c:pt idx="0">
                  <c:v>YES</c:v>
                </c:pt>
              </c:strCache>
            </c:strRef>
          </c:tx>
          <c:spPr>
            <a:solidFill>
              <a:srgbClr val="EF4130"/>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Hoja1!$A$2:$A$17</c:f>
              <c:strCache>
                <c:ptCount val="16"/>
                <c:pt idx="0">
                  <c:v>16. Croacia</c:v>
                </c:pt>
                <c:pt idx="1">
                  <c:v>15. Reino Unido</c:v>
                </c:pt>
                <c:pt idx="2">
                  <c:v>14. Italia</c:v>
                </c:pt>
                <c:pt idx="3">
                  <c:v>13. Malasia</c:v>
                </c:pt>
                <c:pt idx="4">
                  <c:v>12. Turquía</c:v>
                </c:pt>
                <c:pt idx="5">
                  <c:v>11. Ecuador</c:v>
                </c:pt>
                <c:pt idx="6">
                  <c:v>10. Brasil</c:v>
                </c:pt>
                <c:pt idx="7">
                  <c:v>9. Pakistán</c:v>
                </c:pt>
                <c:pt idx="8">
                  <c:v>8. Estados Unidos</c:v>
                </c:pt>
                <c:pt idx="9">
                  <c:v>7. Chile</c:v>
                </c:pt>
                <c:pt idx="10">
                  <c:v>6. Corea del Sur</c:v>
                </c:pt>
                <c:pt idx="11">
                  <c:v>5. India</c:v>
                </c:pt>
                <c:pt idx="12">
                  <c:v>4. México</c:v>
                </c:pt>
                <c:pt idx="13">
                  <c:v>3. Grecia</c:v>
                </c:pt>
                <c:pt idx="14">
                  <c:v>2. Marruecos</c:v>
                </c:pt>
                <c:pt idx="15">
                  <c:v>1. Argentina</c:v>
                </c:pt>
              </c:strCache>
            </c:strRef>
          </c:cat>
          <c:val>
            <c:numRef>
              <c:f>Hoja1!$B$2:$B$17</c:f>
              <c:numCache>
                <c:formatCode>###0%</c:formatCode>
                <c:ptCount val="16"/>
                <c:pt idx="0">
                  <c:v>0.15398287456015372</c:v>
                </c:pt>
                <c:pt idx="1">
                  <c:v>0.15612648221343872</c:v>
                </c:pt>
                <c:pt idx="2">
                  <c:v>0.17072967443298026</c:v>
                </c:pt>
                <c:pt idx="3">
                  <c:v>0.17402313308558934</c:v>
                </c:pt>
                <c:pt idx="4">
                  <c:v>0.18085863715059017</c:v>
                </c:pt>
                <c:pt idx="5">
                  <c:v>0.18287751611078004</c:v>
                </c:pt>
                <c:pt idx="6">
                  <c:v>0.186639642729689</c:v>
                </c:pt>
                <c:pt idx="7">
                  <c:v>0.19134177131202385</c:v>
                </c:pt>
                <c:pt idx="8">
                  <c:v>0.20525973079559562</c:v>
                </c:pt>
                <c:pt idx="9">
                  <c:v>0.22382958711370071</c:v>
                </c:pt>
                <c:pt idx="10">
                  <c:v>0.24782883350583018</c:v>
                </c:pt>
                <c:pt idx="11">
                  <c:v>0.26938775510204083</c:v>
                </c:pt>
                <c:pt idx="12">
                  <c:v>0.27843393932262556</c:v>
                </c:pt>
                <c:pt idx="13">
                  <c:v>0.28968253968253971</c:v>
                </c:pt>
                <c:pt idx="14">
                  <c:v>0.33057851239669422</c:v>
                </c:pt>
                <c:pt idx="15">
                  <c:v>0.39440298835787968</c:v>
                </c:pt>
              </c:numCache>
            </c:numRef>
          </c:val>
          <c:extLst>
            <c:ext xmlns:c16="http://schemas.microsoft.com/office/drawing/2014/chart" uri="{C3380CC4-5D6E-409C-BE32-E72D297353CC}">
              <c16:uniqueId val="{00000001-6E75-41CD-B59B-698411EAF2E0}"/>
            </c:ext>
          </c:extLst>
        </c:ser>
        <c:ser>
          <c:idx val="1"/>
          <c:order val="1"/>
          <c:tx>
            <c:strRef>
              <c:f>Hoja1!$C$1</c:f>
              <c:strCache>
                <c:ptCount val="1"/>
                <c:pt idx="0">
                  <c:v>NO</c:v>
                </c:pt>
              </c:strCache>
            </c:strRef>
          </c:tx>
          <c:spPr>
            <a:solidFill>
              <a:srgbClr val="7668AA"/>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Hoja1!$A$2:$A$17</c:f>
              <c:strCache>
                <c:ptCount val="16"/>
                <c:pt idx="0">
                  <c:v>16. Croacia</c:v>
                </c:pt>
                <c:pt idx="1">
                  <c:v>15. Reino Unido</c:v>
                </c:pt>
                <c:pt idx="2">
                  <c:v>14. Italia</c:v>
                </c:pt>
                <c:pt idx="3">
                  <c:v>13. Malasia</c:v>
                </c:pt>
                <c:pt idx="4">
                  <c:v>12. Turquía</c:v>
                </c:pt>
                <c:pt idx="5">
                  <c:v>11. Ecuador</c:v>
                </c:pt>
                <c:pt idx="6">
                  <c:v>10. Brasil</c:v>
                </c:pt>
                <c:pt idx="7">
                  <c:v>9. Pakistán</c:v>
                </c:pt>
                <c:pt idx="8">
                  <c:v>8. Estados Unidos</c:v>
                </c:pt>
                <c:pt idx="9">
                  <c:v>7. Chile</c:v>
                </c:pt>
                <c:pt idx="10">
                  <c:v>6. Corea del Sur</c:v>
                </c:pt>
                <c:pt idx="11">
                  <c:v>5. India</c:v>
                </c:pt>
                <c:pt idx="12">
                  <c:v>4. México</c:v>
                </c:pt>
                <c:pt idx="13">
                  <c:v>3. Grecia</c:v>
                </c:pt>
                <c:pt idx="14">
                  <c:v>2. Marruecos</c:v>
                </c:pt>
                <c:pt idx="15">
                  <c:v>1. Argentina</c:v>
                </c:pt>
              </c:strCache>
            </c:strRef>
          </c:cat>
          <c:val>
            <c:numRef>
              <c:f>Hoja1!$C$2:$C$17</c:f>
              <c:numCache>
                <c:formatCode>###0%</c:formatCode>
                <c:ptCount val="16"/>
                <c:pt idx="0">
                  <c:v>0.81232034740345849</c:v>
                </c:pt>
                <c:pt idx="1">
                  <c:v>0.82213438735177879</c:v>
                </c:pt>
                <c:pt idx="2">
                  <c:v>0.77084941271172891</c:v>
                </c:pt>
                <c:pt idx="3">
                  <c:v>0.79017571243597129</c:v>
                </c:pt>
                <c:pt idx="4">
                  <c:v>0.81914136284940975</c:v>
                </c:pt>
                <c:pt idx="5">
                  <c:v>0.81293143099636267</c:v>
                </c:pt>
                <c:pt idx="6">
                  <c:v>0.72663552744978366</c:v>
                </c:pt>
                <c:pt idx="7">
                  <c:v>0.75027985400149821</c:v>
                </c:pt>
                <c:pt idx="8">
                  <c:v>0.75527778778847177</c:v>
                </c:pt>
                <c:pt idx="9">
                  <c:v>0.70390312815164591</c:v>
                </c:pt>
                <c:pt idx="10">
                  <c:v>0.72593160132013512</c:v>
                </c:pt>
                <c:pt idx="11">
                  <c:v>0.71020408163265303</c:v>
                </c:pt>
                <c:pt idx="12">
                  <c:v>0.68228216744131398</c:v>
                </c:pt>
                <c:pt idx="13">
                  <c:v>0.6785714285714286</c:v>
                </c:pt>
                <c:pt idx="14">
                  <c:v>0.65702479338842978</c:v>
                </c:pt>
                <c:pt idx="15">
                  <c:v>0.57382691923406348</c:v>
                </c:pt>
              </c:numCache>
            </c:numRef>
          </c:val>
          <c:extLst>
            <c:ext xmlns:c16="http://schemas.microsoft.com/office/drawing/2014/chart" uri="{C3380CC4-5D6E-409C-BE32-E72D297353CC}">
              <c16:uniqueId val="{00000002-6E75-41CD-B59B-698411EAF2E0}"/>
            </c:ext>
          </c:extLst>
        </c:ser>
        <c:ser>
          <c:idx val="2"/>
          <c:order val="2"/>
          <c:tx>
            <c:strRef>
              <c:f>Hoja1!$D$1</c:f>
              <c:strCache>
                <c:ptCount val="1"/>
                <c:pt idx="0">
                  <c:v>DK/NR</c:v>
                </c:pt>
              </c:strCache>
            </c:strRef>
          </c:tx>
          <c:spPr>
            <a:solidFill>
              <a:srgbClr val="A6A6A6"/>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Hoja1!$A$2:$A$17</c:f>
              <c:strCache>
                <c:ptCount val="16"/>
                <c:pt idx="0">
                  <c:v>16. Croacia</c:v>
                </c:pt>
                <c:pt idx="1">
                  <c:v>15. Reino Unido</c:v>
                </c:pt>
                <c:pt idx="2">
                  <c:v>14. Italia</c:v>
                </c:pt>
                <c:pt idx="3">
                  <c:v>13. Malasia</c:v>
                </c:pt>
                <c:pt idx="4">
                  <c:v>12. Turquía</c:v>
                </c:pt>
                <c:pt idx="5">
                  <c:v>11. Ecuador</c:v>
                </c:pt>
                <c:pt idx="6">
                  <c:v>10. Brasil</c:v>
                </c:pt>
                <c:pt idx="7">
                  <c:v>9. Pakistán</c:v>
                </c:pt>
                <c:pt idx="8">
                  <c:v>8. Estados Unidos</c:v>
                </c:pt>
                <c:pt idx="9">
                  <c:v>7. Chile</c:v>
                </c:pt>
                <c:pt idx="10">
                  <c:v>6. Corea del Sur</c:v>
                </c:pt>
                <c:pt idx="11">
                  <c:v>5. India</c:v>
                </c:pt>
                <c:pt idx="12">
                  <c:v>4. México</c:v>
                </c:pt>
                <c:pt idx="13">
                  <c:v>3. Grecia</c:v>
                </c:pt>
                <c:pt idx="14">
                  <c:v>2. Marruecos</c:v>
                </c:pt>
                <c:pt idx="15">
                  <c:v>1. Argentina</c:v>
                </c:pt>
              </c:strCache>
            </c:strRef>
          </c:cat>
          <c:val>
            <c:numRef>
              <c:f>Hoja1!$D$2:$D$17</c:f>
              <c:numCache>
                <c:formatCode>###0%</c:formatCode>
                <c:ptCount val="16"/>
                <c:pt idx="0">
                  <c:v>3.3696778036387105E-2</c:v>
                </c:pt>
                <c:pt idx="1">
                  <c:v>2.1739130434782608E-2</c:v>
                </c:pt>
                <c:pt idx="2">
                  <c:v>5.8420912855290649E-2</c:v>
                </c:pt>
                <c:pt idx="3">
                  <c:v>3.5801154478439789E-2</c:v>
                </c:pt>
                <c:pt idx="4">
                  <c:v>0</c:v>
                </c:pt>
                <c:pt idx="5">
                  <c:v>4.1910528928602005E-3</c:v>
                </c:pt>
                <c:pt idx="6">
                  <c:v>8.6724829820526622E-2</c:v>
                </c:pt>
                <c:pt idx="7">
                  <c:v>5.837837468647826E-2</c:v>
                </c:pt>
                <c:pt idx="8">
                  <c:v>3.946248141593247E-2</c:v>
                </c:pt>
                <c:pt idx="9">
                  <c:v>7.2267284734650272E-2</c:v>
                </c:pt>
                <c:pt idx="10">
                  <c:v>2.6239565174034928E-2</c:v>
                </c:pt>
                <c:pt idx="11">
                  <c:v>2.0408163265306124E-2</c:v>
                </c:pt>
                <c:pt idx="12">
                  <c:v>3.9283893236061261E-2</c:v>
                </c:pt>
                <c:pt idx="13">
                  <c:v>3.1746031746031744E-2</c:v>
                </c:pt>
                <c:pt idx="14">
                  <c:v>1.2396694214876033E-2</c:v>
                </c:pt>
                <c:pt idx="15">
                  <c:v>3.1770092408055096E-2</c:v>
                </c:pt>
              </c:numCache>
            </c:numRef>
          </c:val>
          <c:extLst>
            <c:ext xmlns:c16="http://schemas.microsoft.com/office/drawing/2014/chart" uri="{C3380CC4-5D6E-409C-BE32-E72D297353CC}">
              <c16:uniqueId val="{00000003-6E75-41CD-B59B-698411EAF2E0}"/>
            </c:ext>
          </c:extLst>
        </c:ser>
        <c:dLbls>
          <c:dLblPos val="ctr"/>
          <c:showLegendKey val="0"/>
          <c:showVal val="1"/>
          <c:showCatName val="0"/>
          <c:showSerName val="0"/>
          <c:showPercent val="0"/>
          <c:showBubbleSize val="0"/>
        </c:dLbls>
        <c:gapWidth val="50"/>
        <c:overlap val="100"/>
        <c:axId val="387513856"/>
        <c:axId val="388483328"/>
      </c:barChart>
      <c:catAx>
        <c:axId val="387513856"/>
        <c:scaling>
          <c:orientation val="minMax"/>
        </c:scaling>
        <c:delete val="0"/>
        <c:axPos val="l"/>
        <c:numFmt formatCode="General" sourceLinked="0"/>
        <c:majorTickMark val="out"/>
        <c:minorTickMark val="none"/>
        <c:tickLblPos val="nextTo"/>
        <c:txPr>
          <a:bodyPr/>
          <a:lstStyle/>
          <a:p>
            <a:pPr algn="r">
              <a:defRPr/>
            </a:pPr>
            <a:endParaRPr lang="es-AR"/>
          </a:p>
        </c:txPr>
        <c:crossAx val="388483328"/>
        <c:crosses val="autoZero"/>
        <c:auto val="1"/>
        <c:lblAlgn val="ctr"/>
        <c:lblOffset val="100"/>
        <c:noMultiLvlLbl val="0"/>
      </c:catAx>
      <c:valAx>
        <c:axId val="388483328"/>
        <c:scaling>
          <c:orientation val="minMax"/>
          <c:max val="1"/>
          <c:min val="0"/>
        </c:scaling>
        <c:delete val="1"/>
        <c:axPos val="b"/>
        <c:numFmt formatCode="0%" sourceLinked="1"/>
        <c:majorTickMark val="out"/>
        <c:minorTickMark val="none"/>
        <c:tickLblPos val="nextTo"/>
        <c:crossAx val="387513856"/>
        <c:crosses val="autoZero"/>
        <c:crossBetween val="between"/>
      </c:valAx>
    </c:plotArea>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1952</Words>
  <Characters>10737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Cilley</dc:creator>
  <cp:keywords/>
  <dc:description/>
  <cp:lastModifiedBy>Julia Kantt</cp:lastModifiedBy>
  <cp:revision>3</cp:revision>
  <dcterms:created xsi:type="dcterms:W3CDTF">2025-03-06T19:02:00Z</dcterms:created>
  <dcterms:modified xsi:type="dcterms:W3CDTF">2025-03-06T19:27:00Z</dcterms:modified>
</cp:coreProperties>
</file>