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30A9A" w14:textId="77777777" w:rsidR="00A04672" w:rsidRPr="00BC7F63" w:rsidRDefault="00A04672" w:rsidP="00C85CCE">
      <w:pPr>
        <w:jc w:val="center"/>
        <w:rPr>
          <w:rFonts w:ascii="Calibri" w:hAnsi="Calibri" w:cs="Calibri"/>
          <w:b/>
          <w:bCs/>
          <w:sz w:val="36"/>
          <w:szCs w:val="36"/>
        </w:rPr>
      </w:pPr>
    </w:p>
    <w:p w14:paraId="3ED56D64" w14:textId="77777777" w:rsidR="007424CA" w:rsidRDefault="007424CA" w:rsidP="00C85CCE">
      <w:pPr>
        <w:jc w:val="center"/>
        <w:rPr>
          <w:rFonts w:ascii="Calibri" w:hAnsi="Calibri" w:cs="Calibri"/>
          <w:b/>
          <w:bCs/>
          <w:sz w:val="36"/>
          <w:szCs w:val="36"/>
        </w:rPr>
      </w:pPr>
    </w:p>
    <w:p w14:paraId="280CA04D" w14:textId="1F0FDE72" w:rsidR="00C85CCE" w:rsidRPr="00BC7F63" w:rsidRDefault="00A04672" w:rsidP="00C85CCE">
      <w:pPr>
        <w:jc w:val="center"/>
        <w:rPr>
          <w:rFonts w:ascii="Calibri" w:hAnsi="Calibri" w:cs="Calibri"/>
          <w:b/>
          <w:bCs/>
          <w:sz w:val="36"/>
          <w:szCs w:val="36"/>
        </w:rPr>
      </w:pPr>
      <w:r w:rsidRPr="00BC7F63">
        <w:rPr>
          <w:rFonts w:ascii="Calibri" w:hAnsi="Calibri" w:cs="Calibri"/>
          <w:b/>
          <w:bCs/>
          <w:sz w:val="36"/>
          <w:szCs w:val="36"/>
        </w:rPr>
        <w:t>¿Cómo supo eso de mí?</w:t>
      </w:r>
      <w:r w:rsidR="00C85CCE" w:rsidRPr="00BC7F63">
        <w:rPr>
          <w:rFonts w:ascii="Calibri" w:hAnsi="Calibri" w:cs="Calibri"/>
          <w:b/>
          <w:bCs/>
          <w:sz w:val="36"/>
          <w:szCs w:val="36"/>
        </w:rPr>
        <w:t xml:space="preserve"> E</w:t>
      </w:r>
      <w:r w:rsidRPr="00BC7F63">
        <w:rPr>
          <w:rFonts w:ascii="Calibri" w:hAnsi="Calibri" w:cs="Calibri"/>
          <w:b/>
          <w:bCs/>
          <w:sz w:val="36"/>
          <w:szCs w:val="36"/>
        </w:rPr>
        <w:t>l dilema que enfrentan las marcas ante consumidores cada vez más sensibles al uso de sus datos</w:t>
      </w:r>
    </w:p>
    <w:p w14:paraId="47B46019" w14:textId="0A01BD4B" w:rsidR="005370E1" w:rsidRPr="00BC7F63" w:rsidRDefault="00A04672" w:rsidP="00C85CCE">
      <w:pPr>
        <w:jc w:val="center"/>
        <w:rPr>
          <w:rFonts w:ascii="Calibri" w:hAnsi="Calibri" w:cs="Calibri"/>
          <w:sz w:val="28"/>
          <w:szCs w:val="28"/>
        </w:rPr>
      </w:pPr>
      <w:r w:rsidRPr="00BC7F63">
        <w:rPr>
          <w:rFonts w:ascii="Calibri" w:hAnsi="Calibri" w:cs="Calibri"/>
          <w:sz w:val="28"/>
          <w:szCs w:val="28"/>
        </w:rPr>
        <w:t>7 de cada 10 argentinos alguna vez sintieron que una empresa sabía algo sobre ellos que no recordaban haber compartido.</w:t>
      </w:r>
    </w:p>
    <w:p w14:paraId="5315C4BA" w14:textId="77777777" w:rsidR="005370E1" w:rsidRPr="00BC7F63" w:rsidRDefault="005370E1" w:rsidP="005370E1">
      <w:pPr>
        <w:jc w:val="both"/>
        <w:rPr>
          <w:rFonts w:ascii="Calibri" w:hAnsi="Calibri" w:cs="Calibri"/>
          <w:sz w:val="24"/>
          <w:szCs w:val="24"/>
        </w:rPr>
      </w:pPr>
    </w:p>
    <w:p w14:paraId="0B055D6B" w14:textId="77777777" w:rsidR="00C85CCE" w:rsidRPr="00BC7F63" w:rsidRDefault="00C85CCE" w:rsidP="00C85CCE">
      <w:pPr>
        <w:jc w:val="both"/>
        <w:rPr>
          <w:rFonts w:ascii="Calibri" w:hAnsi="Calibri" w:cs="Calibri"/>
          <w:sz w:val="24"/>
          <w:szCs w:val="24"/>
        </w:rPr>
      </w:pPr>
    </w:p>
    <w:p w14:paraId="66B18299" w14:textId="77777777" w:rsidR="00C85CCE" w:rsidRPr="00BC7F63" w:rsidRDefault="00C85CCE" w:rsidP="00C85CCE">
      <w:pPr>
        <w:jc w:val="both"/>
        <w:rPr>
          <w:rFonts w:ascii="Calibri" w:hAnsi="Calibri" w:cs="Calibri"/>
          <w:i/>
          <w:iCs/>
          <w:sz w:val="24"/>
          <w:szCs w:val="24"/>
        </w:rPr>
      </w:pPr>
      <w:r w:rsidRPr="00BC7F63">
        <w:rPr>
          <w:rFonts w:ascii="Calibri" w:hAnsi="Calibri" w:cs="Calibri"/>
          <w:i/>
          <w:iCs/>
          <w:sz w:val="24"/>
          <w:szCs w:val="24"/>
        </w:rPr>
        <w:t>Buenos Aires, septiembre de 2026</w:t>
      </w:r>
    </w:p>
    <w:p w14:paraId="67DD7815" w14:textId="602781F5" w:rsidR="00C85CCE" w:rsidRPr="00BC7F63" w:rsidRDefault="00C85CCE" w:rsidP="00C85CCE">
      <w:pPr>
        <w:jc w:val="both"/>
        <w:rPr>
          <w:rFonts w:ascii="Calibri" w:hAnsi="Calibri" w:cs="Calibri"/>
          <w:sz w:val="24"/>
          <w:szCs w:val="24"/>
        </w:rPr>
      </w:pPr>
      <w:r w:rsidRPr="00BC7F63">
        <w:rPr>
          <w:rFonts w:ascii="Calibri" w:hAnsi="Calibri" w:cs="Calibri"/>
          <w:sz w:val="24"/>
          <w:szCs w:val="24"/>
        </w:rPr>
        <w:t>La personalización se convirtió en una de las grandes promesas del marketing: conocer mejor al consumidor para ofrecerle mensajes, productos y experiencias más relevantes. Pero ¿qué ocurre cuando una marca parece conocerlo demasiado?</w:t>
      </w:r>
    </w:p>
    <w:p w14:paraId="579DADB8" w14:textId="77777777" w:rsidR="00C85CCE" w:rsidRPr="00BC7F63" w:rsidRDefault="00C85CCE" w:rsidP="00C85CCE">
      <w:pPr>
        <w:jc w:val="both"/>
        <w:rPr>
          <w:rFonts w:ascii="Calibri" w:hAnsi="Calibri" w:cs="Calibri"/>
          <w:sz w:val="24"/>
          <w:szCs w:val="24"/>
        </w:rPr>
      </w:pPr>
      <w:proofErr w:type="gramStart"/>
      <w:r w:rsidRPr="00BC7F63">
        <w:rPr>
          <w:rFonts w:ascii="Calibri" w:hAnsi="Calibri" w:cs="Calibri"/>
          <w:sz w:val="24"/>
          <w:szCs w:val="24"/>
        </w:rPr>
        <w:t>Un nuevo estudio nacional de Voices!</w:t>
      </w:r>
      <w:proofErr w:type="gramEnd"/>
      <w:r w:rsidRPr="00BC7F63">
        <w:rPr>
          <w:rFonts w:ascii="Calibri" w:hAnsi="Calibri" w:cs="Calibri"/>
          <w:sz w:val="24"/>
          <w:szCs w:val="24"/>
        </w:rPr>
        <w:t xml:space="preserve"> muestra hasta dónde llega la aceptación de la personalización, qué información estamos dispuestos a compartir y qué pueden hacer las marcas para construir confianza.</w:t>
      </w:r>
    </w:p>
    <w:p w14:paraId="69ECBE1A" w14:textId="373480FD" w:rsidR="00C85CCE" w:rsidRPr="00BC7F63" w:rsidRDefault="00C85CCE" w:rsidP="005370E1">
      <w:pPr>
        <w:jc w:val="both"/>
        <w:rPr>
          <w:rFonts w:ascii="Calibri" w:hAnsi="Calibri" w:cs="Calibri"/>
          <w:sz w:val="24"/>
          <w:szCs w:val="24"/>
        </w:rPr>
      </w:pPr>
    </w:p>
    <w:p w14:paraId="50E2AC13" w14:textId="77777777" w:rsidR="007424CA" w:rsidRDefault="007424CA" w:rsidP="005370E1">
      <w:pPr>
        <w:jc w:val="both"/>
        <w:rPr>
          <w:rFonts w:ascii="Calibri" w:hAnsi="Calibri" w:cs="Calibri"/>
          <w:b/>
          <w:bCs/>
          <w:color w:val="004F88"/>
          <w:sz w:val="28"/>
          <w:szCs w:val="28"/>
        </w:rPr>
      </w:pPr>
    </w:p>
    <w:p w14:paraId="453110F9" w14:textId="1CD27517" w:rsidR="00A04672" w:rsidRPr="007424CA" w:rsidRDefault="00C85CCE" w:rsidP="005370E1">
      <w:pPr>
        <w:jc w:val="both"/>
        <w:rPr>
          <w:rFonts w:ascii="Calibri" w:hAnsi="Calibri" w:cs="Calibri"/>
          <w:b/>
          <w:bCs/>
          <w:color w:val="004F88"/>
          <w:sz w:val="28"/>
          <w:szCs w:val="28"/>
        </w:rPr>
      </w:pPr>
      <w:r w:rsidRPr="007424CA">
        <w:rPr>
          <w:rFonts w:ascii="Calibri" w:hAnsi="Calibri" w:cs="Calibri"/>
          <w:b/>
          <w:bCs/>
          <w:color w:val="004F88"/>
          <w:sz w:val="28"/>
          <w:szCs w:val="28"/>
        </w:rPr>
        <w:t>Principales hallazgos</w:t>
      </w:r>
    </w:p>
    <w:p w14:paraId="68A70104" w14:textId="1250A75A" w:rsidR="00A04672" w:rsidRDefault="00C85CCE" w:rsidP="005370E1">
      <w:pPr>
        <w:jc w:val="both"/>
        <w:rPr>
          <w:rFonts w:ascii="Calibri" w:hAnsi="Calibri" w:cs="Calibri"/>
          <w:b/>
          <w:bCs/>
          <w:sz w:val="24"/>
          <w:szCs w:val="24"/>
        </w:rPr>
      </w:pPr>
      <w:proofErr w:type="gramStart"/>
      <w:r w:rsidRPr="00BC7F63">
        <w:rPr>
          <w:rFonts w:ascii="Calibri" w:hAnsi="Calibri" w:cs="Calibri"/>
          <w:sz w:val="24"/>
          <w:szCs w:val="24"/>
        </w:rPr>
        <w:t>El estudio de</w:t>
      </w:r>
      <w:r w:rsidR="00A04672" w:rsidRPr="00BC7F63">
        <w:rPr>
          <w:rFonts w:ascii="Calibri" w:hAnsi="Calibri" w:cs="Calibri"/>
          <w:sz w:val="24"/>
          <w:szCs w:val="24"/>
        </w:rPr>
        <w:t xml:space="preserve"> Voices!</w:t>
      </w:r>
      <w:proofErr w:type="gramEnd"/>
      <w:r w:rsidR="00A04672" w:rsidRPr="00BC7F63">
        <w:rPr>
          <w:rFonts w:ascii="Calibri" w:hAnsi="Calibri" w:cs="Calibri"/>
          <w:sz w:val="24"/>
          <w:szCs w:val="24"/>
        </w:rPr>
        <w:t xml:space="preserve"> sobre privacidad, personalización y confianza en las marcas muestra que el </w:t>
      </w:r>
      <w:r w:rsidR="00A04672" w:rsidRPr="00BC7F63">
        <w:rPr>
          <w:rFonts w:ascii="Calibri" w:hAnsi="Calibri" w:cs="Calibri"/>
          <w:b/>
          <w:bCs/>
          <w:sz w:val="24"/>
          <w:szCs w:val="24"/>
        </w:rPr>
        <w:t>71% de los argentinos alguna vez vio una publicidad o recomendación y sintió que la empresa sabía algo sobre él que no recordaba haber contado o compartido.</w:t>
      </w:r>
      <w:r w:rsidR="00A04672" w:rsidRPr="00BC7F63">
        <w:rPr>
          <w:rFonts w:ascii="Calibri" w:hAnsi="Calibri" w:cs="Calibri"/>
          <w:sz w:val="24"/>
          <w:szCs w:val="24"/>
        </w:rPr>
        <w:t xml:space="preserve"> Y no se trata de un episodio aislado: el </w:t>
      </w:r>
      <w:r w:rsidR="00A04672" w:rsidRPr="00BC7F63">
        <w:rPr>
          <w:rFonts w:ascii="Calibri" w:hAnsi="Calibri" w:cs="Calibri"/>
          <w:b/>
          <w:bCs/>
          <w:sz w:val="24"/>
          <w:szCs w:val="24"/>
        </w:rPr>
        <w:t>31% señala que le ocurrió muchas veces.</w:t>
      </w:r>
    </w:p>
    <w:p w14:paraId="7620BF75" w14:textId="77777777" w:rsidR="007424CA" w:rsidRDefault="007424CA" w:rsidP="005370E1">
      <w:pPr>
        <w:jc w:val="both"/>
        <w:rPr>
          <w:rFonts w:ascii="Calibri" w:hAnsi="Calibri" w:cs="Calibri"/>
          <w:b/>
          <w:bCs/>
          <w:sz w:val="24"/>
          <w:szCs w:val="24"/>
        </w:rPr>
      </w:pPr>
    </w:p>
    <w:p w14:paraId="67991992" w14:textId="77777777" w:rsidR="007424CA" w:rsidRDefault="007424CA" w:rsidP="005370E1">
      <w:pPr>
        <w:jc w:val="both"/>
        <w:rPr>
          <w:rFonts w:ascii="Calibri" w:hAnsi="Calibri" w:cs="Calibri"/>
          <w:b/>
          <w:bCs/>
          <w:sz w:val="24"/>
          <w:szCs w:val="24"/>
        </w:rPr>
      </w:pPr>
    </w:p>
    <w:p w14:paraId="2664C1A4" w14:textId="77777777" w:rsidR="007424CA" w:rsidRDefault="007424CA" w:rsidP="005370E1">
      <w:pPr>
        <w:jc w:val="both"/>
        <w:rPr>
          <w:rFonts w:ascii="Calibri" w:hAnsi="Calibri" w:cs="Calibri"/>
          <w:b/>
          <w:bCs/>
          <w:sz w:val="24"/>
          <w:szCs w:val="24"/>
        </w:rPr>
      </w:pPr>
    </w:p>
    <w:p w14:paraId="0B11CCD7" w14:textId="77777777" w:rsidR="007424CA" w:rsidRDefault="007424CA" w:rsidP="005370E1">
      <w:pPr>
        <w:jc w:val="both"/>
        <w:rPr>
          <w:rFonts w:ascii="Calibri" w:hAnsi="Calibri" w:cs="Calibri"/>
          <w:b/>
          <w:bCs/>
          <w:sz w:val="24"/>
          <w:szCs w:val="24"/>
        </w:rPr>
      </w:pPr>
    </w:p>
    <w:p w14:paraId="750FDB18" w14:textId="77777777" w:rsidR="007424CA" w:rsidRDefault="007424CA" w:rsidP="005370E1">
      <w:pPr>
        <w:jc w:val="both"/>
        <w:rPr>
          <w:rFonts w:ascii="Calibri" w:hAnsi="Calibri" w:cs="Calibri"/>
          <w:b/>
          <w:bCs/>
          <w:sz w:val="24"/>
          <w:szCs w:val="24"/>
        </w:rPr>
      </w:pPr>
    </w:p>
    <w:p w14:paraId="6995FE4E" w14:textId="01B78B68" w:rsidR="007424CA" w:rsidRPr="007424CA" w:rsidRDefault="007424CA" w:rsidP="007424CA">
      <w:pPr>
        <w:jc w:val="center"/>
        <w:rPr>
          <w:rFonts w:ascii="Calibri" w:hAnsi="Calibri" w:cs="Calibri"/>
          <w:b/>
          <w:bCs/>
          <w:i/>
          <w:iCs/>
          <w:sz w:val="24"/>
          <w:szCs w:val="24"/>
        </w:rPr>
      </w:pPr>
      <w:r w:rsidRPr="007424CA">
        <w:rPr>
          <w:rFonts w:ascii="Calibri" w:hAnsi="Calibri" w:cs="Calibri"/>
          <w:b/>
          <w:bCs/>
          <w:i/>
          <w:iCs/>
          <w:sz w:val="24"/>
          <w:szCs w:val="24"/>
        </w:rPr>
        <w:lastRenderedPageBreak/>
        <w:t>¿Alguna vez le ocurrió ver una publicidad o recomendación de un producto o servicio y sentir que esa empresa sabía algo sobre usted que usted no recordaba haberle contado o compartido?</w:t>
      </w:r>
    </w:p>
    <w:p w14:paraId="7D130003" w14:textId="176D8F02" w:rsidR="00BC7F63" w:rsidRPr="00BC7F63" w:rsidRDefault="007F570E" w:rsidP="005370E1">
      <w:pPr>
        <w:jc w:val="both"/>
        <w:rPr>
          <w:rFonts w:ascii="Calibri" w:hAnsi="Calibri" w:cs="Calibri"/>
          <w:b/>
          <w:bCs/>
          <w:sz w:val="24"/>
          <w:szCs w:val="24"/>
        </w:rPr>
      </w:pPr>
      <w:r>
        <w:rPr>
          <w:rFonts w:ascii="Calibri" w:hAnsi="Calibri" w:cs="Calibri"/>
          <w:noProof/>
        </w:rPr>
        <mc:AlternateContent>
          <mc:Choice Requires="wps">
            <w:drawing>
              <wp:anchor distT="0" distB="0" distL="114300" distR="114300" simplePos="0" relativeHeight="251664384" behindDoc="0" locked="0" layoutInCell="1" allowOverlap="1" wp14:anchorId="21DA8060" wp14:editId="596CFC9E">
                <wp:simplePos x="0" y="0"/>
                <wp:positionH relativeFrom="column">
                  <wp:posOffset>3720465</wp:posOffset>
                </wp:positionH>
                <wp:positionV relativeFrom="paragraph">
                  <wp:posOffset>1068070</wp:posOffset>
                </wp:positionV>
                <wp:extent cx="219075" cy="2209800"/>
                <wp:effectExtent l="0" t="0" r="28575" b="19050"/>
                <wp:wrapNone/>
                <wp:docPr id="1206591278" name="Cerrar llave 5"/>
                <wp:cNvGraphicFramePr/>
                <a:graphic xmlns:a="http://schemas.openxmlformats.org/drawingml/2006/main">
                  <a:graphicData uri="http://schemas.microsoft.com/office/word/2010/wordprocessingShape">
                    <wps:wsp>
                      <wps:cNvSpPr/>
                      <wps:spPr>
                        <a:xfrm>
                          <a:off x="0" y="0"/>
                          <a:ext cx="219075" cy="22098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1B10FE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5" o:spid="_x0000_s1026" type="#_x0000_t88" style="position:absolute;margin-left:292.95pt;margin-top:84.1pt;width:17.25pt;height:17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" adj="178" strokecolor="black [3200]" strokeweight=".5pt">
                <v:stroke joinstyle="miter"/>
              </v:shape>
            </w:pict>
          </mc:Fallback>
        </mc:AlternateContent>
      </w:r>
      <w:r w:rsidR="00BC7F63" w:rsidRPr="00BC7F63">
        <w:rPr>
          <w:rFonts w:ascii="Calibri" w:hAnsi="Calibri" w:cs="Calibri"/>
          <w:noProof/>
        </w:rPr>
        <mc:AlternateContent>
          <mc:Choice Requires="wps">
            <w:drawing>
              <wp:anchor distT="0" distB="0" distL="114300" distR="114300" simplePos="0" relativeHeight="251663360" behindDoc="0" locked="0" layoutInCell="1" allowOverlap="1" wp14:anchorId="0DC057D6" wp14:editId="6113F8D2">
                <wp:simplePos x="0" y="0"/>
                <wp:positionH relativeFrom="column">
                  <wp:posOffset>4114800</wp:posOffset>
                </wp:positionH>
                <wp:positionV relativeFrom="paragraph">
                  <wp:posOffset>1666240</wp:posOffset>
                </wp:positionV>
                <wp:extent cx="754743" cy="772001"/>
                <wp:effectExtent l="0" t="0" r="26670" b="28575"/>
                <wp:wrapNone/>
                <wp:docPr id="7" name="Rectángulo 6">
                  <a:extLst xmlns:a="http://schemas.openxmlformats.org/drawingml/2006/main">
                    <a:ext uri="{FF2B5EF4-FFF2-40B4-BE49-F238E27FC236}">
                      <a16:creationId xmlns:a16="http://schemas.microsoft.com/office/drawing/2014/main" id="{9AB76701-C69A-D555-5F71-C27CE510E36B}"/>
                    </a:ext>
                  </a:extLst>
                </wp:docPr>
                <wp:cNvGraphicFramePr/>
                <a:graphic xmlns:a="http://schemas.openxmlformats.org/drawingml/2006/main">
                  <a:graphicData uri="http://schemas.microsoft.com/office/word/2010/wordprocessingShape">
                    <wps:wsp>
                      <wps:cNvSpPr/>
                      <wps:spPr>
                        <a:xfrm>
                          <a:off x="0" y="0"/>
                          <a:ext cx="754743" cy="772001"/>
                        </a:xfrm>
                        <a:prstGeom prst="rect">
                          <a:avLst/>
                        </a:prstGeom>
                        <a:solidFill>
                          <a:srgbClr val="F7941E"/>
                        </a:solidFill>
                        <a:ln w="25400" cap="flat" cmpd="sng" algn="ctr">
                          <a:solidFill>
                            <a:srgbClr val="EF4130"/>
                          </a:solidFill>
                          <a:prstDash val="solid"/>
                        </a:ln>
                        <a:effectLst/>
                      </wps:spPr>
                      <wps:txbx>
                        <w:txbxContent>
                          <w:p w14:paraId="21EDCCF0" w14:textId="77777777" w:rsidR="00BC7F63" w:rsidRPr="00BC7F63" w:rsidRDefault="00BC7F63" w:rsidP="00BC7F63">
                            <w:pPr>
                              <w:jc w:val="center"/>
                              <w:rPr>
                                <w:rFonts w:ascii="Calibri" w:eastAsia="+mn-ea" w:hAnsi="Calibri" w:cs="Calibri"/>
                                <w:b/>
                                <w:bCs/>
                                <w:color w:val="262626"/>
                                <w:kern w:val="24"/>
                                <w:sz w:val="36"/>
                                <w:szCs w:val="36"/>
                                <w14:ligatures w14:val="none"/>
                              </w:rPr>
                            </w:pPr>
                            <w:r w:rsidRPr="00BC7F63">
                              <w:rPr>
                                <w:rFonts w:ascii="Calibri" w:eastAsia="+mn-ea" w:hAnsi="Calibri" w:cs="Calibri"/>
                                <w:b/>
                                <w:bCs/>
                                <w:color w:val="262626"/>
                                <w:kern w:val="24"/>
                                <w:sz w:val="36"/>
                                <w:szCs w:val="36"/>
                              </w:rPr>
                              <w:t>71%</w:t>
                            </w:r>
                          </w:p>
                        </w:txbxContent>
                      </wps:txbx>
                      <wps:bodyPr rtlCol="0" anchor="ctr"/>
                    </wps:wsp>
                  </a:graphicData>
                </a:graphic>
              </wp:anchor>
            </w:drawing>
          </mc:Choice>
          <mc:Fallback>
            <w:pict>
              <v:rect w14:anchorId="0DC057D6" id="Rectángulo 6" o:spid="_x0000_s1026" style="position:absolute;left:0;text-align:left;margin-left:324pt;margin-top:131.2pt;width:59.45pt;height:60.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" fillcolor="#f7941e" strokecolor="#ef4130" strokeweight="2pt">
                <v:textbox>
                  <w:txbxContent>
                    <w:p w14:paraId="21EDCCF0" w14:textId="77777777" w:rsidR="00BC7F63" w:rsidRPr="00BC7F63" w:rsidRDefault="00BC7F63" w:rsidP="00BC7F63">
                      <w:pPr>
                        <w:jc w:val="center"/>
                        <w:rPr>
                          <w:rFonts w:ascii="Calibri" w:eastAsia="+mn-ea" w:hAnsi="Calibri" w:cs="Calibri"/>
                          <w:b/>
                          <w:bCs/>
                          <w:color w:val="262626"/>
                          <w:kern w:val="24"/>
                          <w:sz w:val="36"/>
                          <w:szCs w:val="36"/>
                          <w14:ligatures w14:val="none"/>
                        </w:rPr>
                      </w:pPr>
                      <w:r w:rsidRPr="00BC7F63">
                        <w:rPr>
                          <w:rFonts w:ascii="Calibri" w:eastAsia="+mn-ea" w:hAnsi="Calibri" w:cs="Calibri"/>
                          <w:b/>
                          <w:bCs/>
                          <w:color w:val="262626"/>
                          <w:kern w:val="24"/>
                          <w:sz w:val="36"/>
                          <w:szCs w:val="36"/>
                        </w:rPr>
                        <w:t>71%</w:t>
                      </w:r>
                    </w:p>
                  </w:txbxContent>
                </v:textbox>
              </v:rect>
            </w:pict>
          </mc:Fallback>
        </mc:AlternateContent>
      </w:r>
      <w:r w:rsidR="00BC7F63" w:rsidRPr="00BC7F63">
        <w:rPr>
          <w:rFonts w:ascii="Calibri" w:hAnsi="Calibri" w:cs="Calibri"/>
          <w:noProof/>
        </w:rPr>
        <w:drawing>
          <wp:inline distT="0" distB="0" distL="0" distR="0" wp14:anchorId="1EB9FE67" wp14:editId="1B87AC25">
            <wp:extent cx="5612130" cy="3339465"/>
            <wp:effectExtent l="0" t="0" r="7620" b="0"/>
            <wp:docPr id="518642705" name="Gráfico 1">
              <a:extLst xmlns:a="http://schemas.openxmlformats.org/drawingml/2006/main">
                <a:ext uri="{FF2B5EF4-FFF2-40B4-BE49-F238E27FC236}">
                  <a16:creationId xmlns:a16="http://schemas.microsoft.com/office/drawing/2014/main" id="{92D93D3F-6936-3ECF-7390-6AC4737A20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FAA5526" w14:textId="77777777" w:rsidR="00BC7F63" w:rsidRPr="00BC7F63" w:rsidRDefault="00BC7F63" w:rsidP="00BC7F63">
      <w:pPr>
        <w:jc w:val="center"/>
        <w:rPr>
          <w:rFonts w:ascii="Calibri" w:hAnsi="Calibri" w:cs="Calibri"/>
          <w:color w:val="0D0D0D"/>
          <w:kern w:val="24"/>
          <w:sz w:val="20"/>
          <w:szCs w:val="20"/>
          <w14:textFill>
            <w14:solidFill>
              <w14:srgbClr w14:val="0D0D0D">
                <w14:lumMod w14:val="95000"/>
                <w14:lumOff w14:val="5000"/>
              </w14:srgbClr>
            </w14:solidFill>
          </w14:textFill>
          <w14:ligatures w14:val="none"/>
        </w:rPr>
      </w:pPr>
      <w:proofErr w:type="gramStart"/>
      <w:r w:rsidRPr="00BC7F63">
        <w:rPr>
          <w:rFonts w:ascii="Calibri" w:hAnsi="Calibri" w:cs="Calibri"/>
          <w:color w:val="0D0D0D"/>
          <w:kern w:val="24"/>
          <w:sz w:val="20"/>
          <w:szCs w:val="20"/>
          <w14:textFill>
            <w14:solidFill>
              <w14:srgbClr w14:val="0D0D0D">
                <w14:lumMod w14:val="95000"/>
                <w14:lumOff w14:val="5000"/>
              </w14:srgbClr>
            </w14:solidFill>
          </w14:textFill>
        </w:rPr>
        <w:t>Estudio Nacional Voices!</w:t>
      </w:r>
      <w:proofErr w:type="gramEnd"/>
      <w:r w:rsidRPr="00BC7F63">
        <w:rPr>
          <w:rFonts w:ascii="Calibri" w:hAnsi="Calibri" w:cs="Calibri"/>
          <w:color w:val="0D0D0D"/>
          <w:kern w:val="24"/>
          <w:sz w:val="20"/>
          <w:szCs w:val="20"/>
          <w14:textFill>
            <w14:solidFill>
              <w14:srgbClr w14:val="0D0D0D">
                <w14:lumMod w14:val="95000"/>
                <w14:lumOff w14:val="5000"/>
              </w14:srgbClr>
            </w14:solidFill>
          </w14:textFill>
        </w:rPr>
        <w:t xml:space="preserve"> Base: Población adulta +16 años, SEPTIEMBRE 2026</w:t>
      </w:r>
    </w:p>
    <w:p w14:paraId="64189F76" w14:textId="77777777" w:rsidR="00BC7F63" w:rsidRPr="00BC7F63" w:rsidRDefault="00BC7F63" w:rsidP="005370E1">
      <w:pPr>
        <w:jc w:val="both"/>
        <w:rPr>
          <w:rFonts w:ascii="Calibri" w:hAnsi="Calibri" w:cs="Calibri"/>
          <w:b/>
          <w:bCs/>
          <w:sz w:val="24"/>
          <w:szCs w:val="24"/>
        </w:rPr>
      </w:pPr>
    </w:p>
    <w:p w14:paraId="260326BC" w14:textId="72C91A1B" w:rsidR="00A04672" w:rsidRPr="00BC7F63" w:rsidRDefault="00A04672" w:rsidP="005370E1">
      <w:pPr>
        <w:jc w:val="both"/>
        <w:rPr>
          <w:rFonts w:ascii="Calibri" w:hAnsi="Calibri" w:cs="Calibri"/>
          <w:b/>
          <w:bCs/>
          <w:sz w:val="24"/>
          <w:szCs w:val="24"/>
        </w:rPr>
      </w:pPr>
      <w:r w:rsidRPr="00BC7F63">
        <w:rPr>
          <w:rFonts w:ascii="Calibri" w:hAnsi="Calibri" w:cs="Calibri"/>
          <w:sz w:val="24"/>
          <w:szCs w:val="24"/>
        </w:rPr>
        <w:t xml:space="preserve">La experiencia es todavía más frecuente entre los jóvenes: </w:t>
      </w:r>
      <w:r w:rsidRPr="00BC7F63">
        <w:rPr>
          <w:rFonts w:ascii="Calibri" w:hAnsi="Calibri" w:cs="Calibri"/>
          <w:b/>
          <w:bCs/>
          <w:sz w:val="24"/>
          <w:szCs w:val="24"/>
        </w:rPr>
        <w:t xml:space="preserve">alcanza al 79% de las personas de 16 a 29 años </w:t>
      </w:r>
      <w:r w:rsidRPr="00BC7F63">
        <w:rPr>
          <w:rFonts w:ascii="Calibri" w:hAnsi="Calibri" w:cs="Calibri"/>
          <w:sz w:val="24"/>
          <w:szCs w:val="24"/>
        </w:rPr>
        <w:t xml:space="preserve">y al </w:t>
      </w:r>
      <w:r w:rsidRPr="00BC7F63">
        <w:rPr>
          <w:rFonts w:ascii="Calibri" w:hAnsi="Calibri" w:cs="Calibri"/>
          <w:b/>
          <w:bCs/>
          <w:sz w:val="24"/>
          <w:szCs w:val="24"/>
        </w:rPr>
        <w:t>77% entre quienes tienen entre 30 y 49 años.</w:t>
      </w:r>
    </w:p>
    <w:p w14:paraId="4918311C" w14:textId="3DD0C843" w:rsidR="00F67EF1" w:rsidRPr="00BC7F63" w:rsidRDefault="00A04672" w:rsidP="005370E1">
      <w:pPr>
        <w:jc w:val="both"/>
        <w:rPr>
          <w:rFonts w:ascii="Calibri" w:hAnsi="Calibri" w:cs="Calibri"/>
          <w:sz w:val="24"/>
          <w:szCs w:val="24"/>
        </w:rPr>
      </w:pPr>
      <w:r w:rsidRPr="00BC7F63">
        <w:rPr>
          <w:rFonts w:ascii="Calibri" w:hAnsi="Calibri" w:cs="Calibri"/>
          <w:sz w:val="24"/>
          <w:szCs w:val="24"/>
        </w:rPr>
        <w:t xml:space="preserve">Y esa sensación tiene consecuencias. </w:t>
      </w:r>
      <w:r w:rsidRPr="00BC7F63">
        <w:rPr>
          <w:rFonts w:ascii="Calibri" w:hAnsi="Calibri" w:cs="Calibri"/>
          <w:b/>
          <w:bCs/>
          <w:sz w:val="24"/>
          <w:szCs w:val="24"/>
        </w:rPr>
        <w:t>Al 56% le preocupa mucho o bastante que las empresas puedan llegar a saber demasiado sobre ellos</w:t>
      </w:r>
      <w:r w:rsidRPr="00BC7F63">
        <w:rPr>
          <w:rFonts w:ascii="Calibri" w:hAnsi="Calibri" w:cs="Calibri"/>
          <w:sz w:val="24"/>
          <w:szCs w:val="24"/>
        </w:rPr>
        <w:t>, una inquietud que atraviesa prácticamente todos los segmentos de la población. Entre quienes manifiestan esa preocupación, el 84% ya experimentó alguna vez el efecto “¿cómo supo eso de mí?”.</w:t>
      </w:r>
    </w:p>
    <w:p w14:paraId="47F590F8" w14:textId="77777777" w:rsidR="00F67EF1" w:rsidRPr="00BC7F63" w:rsidRDefault="00F67EF1" w:rsidP="005370E1">
      <w:pPr>
        <w:jc w:val="both"/>
        <w:rPr>
          <w:rFonts w:ascii="Calibri" w:hAnsi="Calibri" w:cs="Calibri"/>
          <w:b/>
          <w:bCs/>
          <w:color w:val="004F88"/>
          <w:sz w:val="24"/>
          <w:szCs w:val="24"/>
        </w:rPr>
      </w:pPr>
    </w:p>
    <w:p w14:paraId="0246BDF2" w14:textId="32C747CC" w:rsidR="00A04672" w:rsidRPr="00BC7F63" w:rsidRDefault="00A04672" w:rsidP="005370E1">
      <w:pPr>
        <w:jc w:val="both"/>
        <w:rPr>
          <w:rFonts w:ascii="Calibri" w:hAnsi="Calibri" w:cs="Calibri"/>
          <w:b/>
          <w:bCs/>
          <w:color w:val="004F88"/>
          <w:sz w:val="28"/>
          <w:szCs w:val="28"/>
        </w:rPr>
      </w:pPr>
      <w:r w:rsidRPr="00BC7F63">
        <w:rPr>
          <w:rFonts w:ascii="Calibri" w:hAnsi="Calibri" w:cs="Calibri"/>
          <w:b/>
          <w:bCs/>
          <w:color w:val="004F88"/>
          <w:sz w:val="28"/>
          <w:szCs w:val="28"/>
        </w:rPr>
        <w:t>Cuando ser relevante empieza a sentirse invasivo</w:t>
      </w:r>
    </w:p>
    <w:p w14:paraId="3F10667F" w14:textId="736CB40A" w:rsidR="00A04672" w:rsidRPr="00BC7F63" w:rsidRDefault="00A04672" w:rsidP="005370E1">
      <w:pPr>
        <w:jc w:val="both"/>
        <w:rPr>
          <w:rFonts w:ascii="Calibri" w:hAnsi="Calibri" w:cs="Calibri"/>
          <w:sz w:val="24"/>
          <w:szCs w:val="24"/>
        </w:rPr>
      </w:pPr>
      <w:r w:rsidRPr="00BC7F63">
        <w:rPr>
          <w:rFonts w:ascii="Calibri" w:hAnsi="Calibri" w:cs="Calibri"/>
          <w:sz w:val="24"/>
          <w:szCs w:val="24"/>
        </w:rPr>
        <w:t>El desafío para las marcas aparece con especial claridad frente a la publicidad personalizada.</w:t>
      </w:r>
      <w:r w:rsidR="00F67EF1" w:rsidRPr="00BC7F63">
        <w:rPr>
          <w:rFonts w:ascii="Calibri" w:hAnsi="Calibri" w:cs="Calibri"/>
          <w:sz w:val="24"/>
          <w:szCs w:val="24"/>
        </w:rPr>
        <w:t xml:space="preserve"> </w:t>
      </w:r>
      <w:r w:rsidRPr="00BC7F63">
        <w:rPr>
          <w:rFonts w:ascii="Calibri" w:hAnsi="Calibri" w:cs="Calibri"/>
          <w:sz w:val="24"/>
          <w:szCs w:val="24"/>
        </w:rPr>
        <w:t xml:space="preserve">Ante un anuncio estrechamente relacionado con algo que la persona buscó, compró, conversó o hizo recientemente, el </w:t>
      </w:r>
      <w:r w:rsidRPr="00BC7F63">
        <w:rPr>
          <w:rFonts w:ascii="Calibri" w:hAnsi="Calibri" w:cs="Calibri"/>
          <w:b/>
          <w:bCs/>
          <w:sz w:val="24"/>
          <w:szCs w:val="24"/>
        </w:rPr>
        <w:t>47% lo considera invasivo y preferiría que no se utilizara esa información</w:t>
      </w:r>
      <w:r w:rsidRPr="00BC7F63">
        <w:rPr>
          <w:rFonts w:ascii="Calibri" w:hAnsi="Calibri" w:cs="Calibri"/>
          <w:sz w:val="24"/>
          <w:szCs w:val="24"/>
        </w:rPr>
        <w:t xml:space="preserve">. Otro </w:t>
      </w:r>
      <w:r w:rsidRPr="00BC7F63">
        <w:rPr>
          <w:rFonts w:ascii="Calibri" w:hAnsi="Calibri" w:cs="Calibri"/>
          <w:b/>
          <w:bCs/>
          <w:sz w:val="24"/>
          <w:szCs w:val="24"/>
        </w:rPr>
        <w:t xml:space="preserve">21% reconoce que puede resultarle útil, pero al mismo tiempo siente incomodidad </w:t>
      </w:r>
      <w:r w:rsidRPr="00BC7F63">
        <w:rPr>
          <w:rFonts w:ascii="Calibri" w:hAnsi="Calibri" w:cs="Calibri"/>
          <w:sz w:val="24"/>
          <w:szCs w:val="24"/>
        </w:rPr>
        <w:t xml:space="preserve">porque la empresa sepa tanto sobre él. </w:t>
      </w:r>
      <w:r w:rsidRPr="00BC7F63">
        <w:rPr>
          <w:rFonts w:ascii="Calibri" w:hAnsi="Calibri" w:cs="Calibri"/>
          <w:b/>
          <w:bCs/>
          <w:sz w:val="24"/>
          <w:szCs w:val="24"/>
        </w:rPr>
        <w:t>Solo un 11% lo recibe de manera plenamente positiva</w:t>
      </w:r>
      <w:r w:rsidRPr="00BC7F63">
        <w:rPr>
          <w:rFonts w:ascii="Calibri" w:hAnsi="Calibri" w:cs="Calibri"/>
          <w:sz w:val="24"/>
          <w:szCs w:val="24"/>
        </w:rPr>
        <w:t xml:space="preserve"> porque le muestra algo relevante.</w:t>
      </w:r>
    </w:p>
    <w:p w14:paraId="69A323C4" w14:textId="1E61ADBE" w:rsidR="00A04672" w:rsidRPr="00BC7F63" w:rsidRDefault="00A04672" w:rsidP="005370E1">
      <w:pPr>
        <w:jc w:val="both"/>
        <w:rPr>
          <w:rFonts w:ascii="Calibri" w:hAnsi="Calibri" w:cs="Calibri"/>
          <w:sz w:val="24"/>
          <w:szCs w:val="24"/>
        </w:rPr>
      </w:pPr>
      <w:r w:rsidRPr="00BC7F63">
        <w:rPr>
          <w:rFonts w:ascii="Calibri" w:hAnsi="Calibri" w:cs="Calibri"/>
          <w:sz w:val="24"/>
          <w:szCs w:val="24"/>
        </w:rPr>
        <w:lastRenderedPageBreak/>
        <w:t xml:space="preserve">La edad cambia significativamente la ecuación. Entre los </w:t>
      </w:r>
      <w:r w:rsidRPr="007F570E">
        <w:rPr>
          <w:rFonts w:ascii="Calibri" w:hAnsi="Calibri" w:cs="Calibri"/>
          <w:b/>
          <w:bCs/>
          <w:sz w:val="24"/>
          <w:szCs w:val="24"/>
        </w:rPr>
        <w:t>jóvenes</w:t>
      </w:r>
      <w:r w:rsidRPr="00BC7F63">
        <w:rPr>
          <w:rFonts w:ascii="Calibri" w:hAnsi="Calibri" w:cs="Calibri"/>
          <w:sz w:val="24"/>
          <w:szCs w:val="24"/>
        </w:rPr>
        <w:t xml:space="preserve"> de 16 a 29 años, el </w:t>
      </w:r>
      <w:r w:rsidRPr="007F570E">
        <w:rPr>
          <w:rFonts w:ascii="Calibri" w:hAnsi="Calibri" w:cs="Calibri"/>
          <w:b/>
          <w:bCs/>
          <w:sz w:val="24"/>
          <w:szCs w:val="24"/>
        </w:rPr>
        <w:t xml:space="preserve">42% considera que la personalización es </w:t>
      </w:r>
      <w:r w:rsidR="005370E1" w:rsidRPr="007F570E">
        <w:rPr>
          <w:rFonts w:ascii="Calibri" w:hAnsi="Calibri" w:cs="Calibri"/>
          <w:b/>
          <w:bCs/>
          <w:sz w:val="24"/>
          <w:szCs w:val="24"/>
        </w:rPr>
        <w:t>útil</w:t>
      </w:r>
      <w:r w:rsidR="005370E1" w:rsidRPr="00BC7F63">
        <w:rPr>
          <w:rFonts w:ascii="Calibri" w:hAnsi="Calibri" w:cs="Calibri"/>
          <w:sz w:val="24"/>
          <w:szCs w:val="24"/>
        </w:rPr>
        <w:t>,</w:t>
      </w:r>
      <w:r w:rsidRPr="00BC7F63">
        <w:rPr>
          <w:rFonts w:ascii="Calibri" w:hAnsi="Calibri" w:cs="Calibri"/>
          <w:sz w:val="24"/>
          <w:szCs w:val="24"/>
        </w:rPr>
        <w:t xml:space="preserve"> aunque le genere cierta incomodidad y el 32% directamente la rechaza. Entre las personas de 50 a 64 años, en cambio, el rechazo alcanza el 55%.</w:t>
      </w:r>
    </w:p>
    <w:p w14:paraId="32A01150" w14:textId="66725531" w:rsidR="00A04672" w:rsidRPr="00BC7F63" w:rsidRDefault="00A04672" w:rsidP="005370E1">
      <w:pPr>
        <w:jc w:val="both"/>
        <w:rPr>
          <w:rFonts w:ascii="Calibri" w:hAnsi="Calibri" w:cs="Calibri"/>
          <w:sz w:val="24"/>
          <w:szCs w:val="24"/>
        </w:rPr>
      </w:pPr>
      <w:r w:rsidRPr="00BC7F63">
        <w:rPr>
          <w:rFonts w:ascii="Calibri" w:hAnsi="Calibri" w:cs="Calibri"/>
          <w:i/>
          <w:iCs/>
          <w:sz w:val="24"/>
          <w:szCs w:val="24"/>
        </w:rPr>
        <w:t>“La personalización tiene una paradoja: las marcas cuentan cada vez con más información para ofrecer propuestas relevantes, pero mostrar que conocen demasiado al consumidor puede generar el efecto contrario al buscado. El desafío es encontrar el punto en el que conocer mejor al cliente mejora su experiencia sin hacerlo sentir invadido”</w:t>
      </w:r>
      <w:r w:rsidRPr="00BC7F63">
        <w:rPr>
          <w:rFonts w:ascii="Calibri" w:hAnsi="Calibri" w:cs="Calibri"/>
          <w:sz w:val="24"/>
          <w:szCs w:val="24"/>
        </w:rPr>
        <w:t>,</w:t>
      </w:r>
      <w:r w:rsidR="005370E1" w:rsidRPr="00BC7F63">
        <w:rPr>
          <w:rFonts w:ascii="Calibri" w:hAnsi="Calibri" w:cs="Calibri"/>
          <w:sz w:val="24"/>
          <w:szCs w:val="24"/>
        </w:rPr>
        <w:t xml:space="preserve"> </w:t>
      </w:r>
      <w:r w:rsidRPr="00BC7F63">
        <w:rPr>
          <w:rFonts w:ascii="Calibri" w:hAnsi="Calibri" w:cs="Calibri"/>
          <w:sz w:val="24"/>
          <w:szCs w:val="24"/>
        </w:rPr>
        <w:t xml:space="preserve">señala Constanza Cilley, </w:t>
      </w:r>
      <w:proofErr w:type="gramStart"/>
      <w:r w:rsidRPr="00BC7F63">
        <w:rPr>
          <w:rFonts w:ascii="Calibri" w:hAnsi="Calibri" w:cs="Calibri"/>
          <w:sz w:val="24"/>
          <w:szCs w:val="24"/>
        </w:rPr>
        <w:t>Directora Ejecutiva</w:t>
      </w:r>
      <w:proofErr w:type="gramEnd"/>
      <w:r w:rsidRPr="00BC7F63">
        <w:rPr>
          <w:rFonts w:ascii="Calibri" w:hAnsi="Calibri" w:cs="Calibri"/>
          <w:sz w:val="24"/>
          <w:szCs w:val="24"/>
        </w:rPr>
        <w:t xml:space="preserve"> de </w:t>
      </w:r>
      <w:proofErr w:type="gramStart"/>
      <w:r w:rsidRPr="00BC7F63">
        <w:rPr>
          <w:rFonts w:ascii="Calibri" w:hAnsi="Calibri" w:cs="Calibri"/>
          <w:sz w:val="24"/>
          <w:szCs w:val="24"/>
        </w:rPr>
        <w:t>Voices!.</w:t>
      </w:r>
      <w:proofErr w:type="gramEnd"/>
    </w:p>
    <w:p w14:paraId="41C4EE3F" w14:textId="77777777" w:rsidR="00A04672" w:rsidRPr="00BC7F63" w:rsidRDefault="00A04672" w:rsidP="005370E1">
      <w:pPr>
        <w:jc w:val="both"/>
        <w:rPr>
          <w:rFonts w:ascii="Calibri" w:hAnsi="Calibri" w:cs="Calibri"/>
          <w:sz w:val="24"/>
          <w:szCs w:val="24"/>
        </w:rPr>
      </w:pPr>
    </w:p>
    <w:p w14:paraId="5C419DD8" w14:textId="52C277A9" w:rsidR="00A04672" w:rsidRPr="00BC7F63" w:rsidRDefault="00A04672" w:rsidP="005370E1">
      <w:pPr>
        <w:jc w:val="both"/>
        <w:rPr>
          <w:rFonts w:ascii="Calibri" w:hAnsi="Calibri" w:cs="Calibri"/>
          <w:b/>
          <w:bCs/>
          <w:color w:val="004F88"/>
          <w:sz w:val="24"/>
          <w:szCs w:val="24"/>
        </w:rPr>
      </w:pPr>
      <w:r w:rsidRPr="00BC7F63">
        <w:rPr>
          <w:rFonts w:ascii="Calibri" w:hAnsi="Calibri" w:cs="Calibri"/>
          <w:b/>
          <w:bCs/>
          <w:color w:val="004F88"/>
          <w:sz w:val="28"/>
          <w:szCs w:val="28"/>
        </w:rPr>
        <w:t>No todos los datos valen lo mismo para los consumidores</w:t>
      </w:r>
    </w:p>
    <w:p w14:paraId="338B4DA6" w14:textId="62FA627C" w:rsidR="00A04672" w:rsidRPr="00BC7F63" w:rsidRDefault="00A04672" w:rsidP="005370E1">
      <w:pPr>
        <w:jc w:val="both"/>
        <w:rPr>
          <w:rFonts w:ascii="Calibri" w:hAnsi="Calibri" w:cs="Calibri"/>
          <w:sz w:val="24"/>
          <w:szCs w:val="24"/>
        </w:rPr>
      </w:pPr>
      <w:r w:rsidRPr="00BC7F63">
        <w:rPr>
          <w:rFonts w:ascii="Calibri" w:hAnsi="Calibri" w:cs="Calibri"/>
          <w:sz w:val="24"/>
          <w:szCs w:val="24"/>
        </w:rPr>
        <w:t xml:space="preserve">¿Qué información personal estamos dispuestos a entregar a una marca a cambio de descuentos, promociones o servicios personalizados? Los resultados muestran una frontera bastante clara: </w:t>
      </w:r>
      <w:r w:rsidRPr="00BC7F63">
        <w:rPr>
          <w:rFonts w:ascii="Calibri" w:hAnsi="Calibri" w:cs="Calibri"/>
          <w:b/>
          <w:bCs/>
          <w:sz w:val="24"/>
          <w:szCs w:val="24"/>
        </w:rPr>
        <w:t xml:space="preserve">cuanto más íntimo o vinculado al comportamiento de una persona es el dato, mayor es </w:t>
      </w:r>
      <w:r w:rsidR="00FF5A40" w:rsidRPr="00BC7F63">
        <w:rPr>
          <w:rFonts w:ascii="Calibri" w:hAnsi="Calibri" w:cs="Calibri"/>
          <w:b/>
          <w:bCs/>
          <w:sz w:val="24"/>
          <w:szCs w:val="24"/>
        </w:rPr>
        <w:t>la resistencia para compartirlo</w:t>
      </w:r>
      <w:r w:rsidRPr="00BC7F63">
        <w:rPr>
          <w:rFonts w:ascii="Calibri" w:hAnsi="Calibri" w:cs="Calibri"/>
          <w:b/>
          <w:bCs/>
          <w:sz w:val="24"/>
          <w:szCs w:val="24"/>
        </w:rPr>
        <w:t>.</w:t>
      </w:r>
    </w:p>
    <w:p w14:paraId="53D22D2A" w14:textId="3AA12BBA" w:rsidR="00A04672" w:rsidRPr="00BC7F63" w:rsidRDefault="00A04672" w:rsidP="005370E1">
      <w:pPr>
        <w:jc w:val="both"/>
        <w:rPr>
          <w:rFonts w:ascii="Calibri" w:hAnsi="Calibri" w:cs="Calibri"/>
          <w:sz w:val="24"/>
          <w:szCs w:val="24"/>
        </w:rPr>
      </w:pPr>
      <w:r w:rsidRPr="00BC7F63">
        <w:rPr>
          <w:rFonts w:ascii="Calibri" w:hAnsi="Calibri" w:cs="Calibri"/>
          <w:sz w:val="24"/>
          <w:szCs w:val="24"/>
        </w:rPr>
        <w:t>La edad es el único dato evaluado que encuentra más personas dispuestas a compartirlo (38%) que a negarse (31%). Los gustos e intereses también presentan cierto margen de apertura: 30% los compartiría y otro 27% dice que dependería del beneficio ofrecido.</w:t>
      </w:r>
    </w:p>
    <w:p w14:paraId="59ACCC22" w14:textId="54176200" w:rsidR="00A04672" w:rsidRPr="007F570E" w:rsidRDefault="00A04672" w:rsidP="005370E1">
      <w:pPr>
        <w:jc w:val="both"/>
        <w:rPr>
          <w:rFonts w:ascii="Calibri" w:hAnsi="Calibri" w:cs="Calibri"/>
          <w:sz w:val="24"/>
          <w:szCs w:val="24"/>
        </w:rPr>
      </w:pPr>
      <w:r w:rsidRPr="00BC7F63">
        <w:rPr>
          <w:rFonts w:ascii="Calibri" w:hAnsi="Calibri" w:cs="Calibri"/>
          <w:sz w:val="24"/>
          <w:szCs w:val="24"/>
        </w:rPr>
        <w:t xml:space="preserve">A partir de allí, la resistencia crece. </w:t>
      </w:r>
      <w:r w:rsidRPr="00BC7F63">
        <w:rPr>
          <w:rFonts w:ascii="Calibri" w:hAnsi="Calibri" w:cs="Calibri"/>
          <w:b/>
          <w:bCs/>
          <w:sz w:val="24"/>
          <w:szCs w:val="24"/>
        </w:rPr>
        <w:t>Solo 25% compartiría información sobre salud o bienestar, 20% la composición de su hogar y apenas 18% su historial de compras.</w:t>
      </w:r>
    </w:p>
    <w:p w14:paraId="5520075F" w14:textId="0F224A48" w:rsidR="00A04672" w:rsidRPr="00BC7F63" w:rsidRDefault="007F570E" w:rsidP="005370E1">
      <w:pPr>
        <w:jc w:val="both"/>
        <w:rPr>
          <w:rFonts w:ascii="Calibri" w:hAnsi="Calibri" w:cs="Calibri"/>
          <w:sz w:val="24"/>
          <w:szCs w:val="24"/>
        </w:rPr>
      </w:pPr>
      <w:r w:rsidRPr="007F570E">
        <w:rPr>
          <w:rFonts w:ascii="Calibri" w:hAnsi="Calibri" w:cs="Calibri"/>
          <w:sz w:val="24"/>
          <w:szCs w:val="24"/>
        </w:rPr>
        <w:t xml:space="preserve">Otro </w:t>
      </w:r>
      <w:r w:rsidR="00A04672" w:rsidRPr="00BC7F63">
        <w:rPr>
          <w:rFonts w:ascii="Calibri" w:hAnsi="Calibri" w:cs="Calibri"/>
          <w:b/>
          <w:bCs/>
          <w:sz w:val="24"/>
          <w:szCs w:val="24"/>
        </w:rPr>
        <w:t>18% estaría dispuesto a compartir sus búsquedas y navegación en internet o su actividad en redes sociales</w:t>
      </w:r>
      <w:r w:rsidR="00A04672" w:rsidRPr="00BC7F63">
        <w:rPr>
          <w:rFonts w:ascii="Calibri" w:hAnsi="Calibri" w:cs="Calibri"/>
          <w:sz w:val="24"/>
          <w:szCs w:val="24"/>
        </w:rPr>
        <w:t xml:space="preserve">. Y </w:t>
      </w:r>
      <w:r w:rsidR="00A04672" w:rsidRPr="00BC7F63">
        <w:rPr>
          <w:rFonts w:ascii="Calibri" w:hAnsi="Calibri" w:cs="Calibri"/>
          <w:b/>
          <w:bCs/>
          <w:sz w:val="24"/>
          <w:szCs w:val="24"/>
        </w:rPr>
        <w:t>la ubicación encuentra todavía más resistencia: solo el 16% la compartiría</w:t>
      </w:r>
      <w:r w:rsidR="00A04672" w:rsidRPr="00BC7F63">
        <w:rPr>
          <w:rFonts w:ascii="Calibri" w:hAnsi="Calibri" w:cs="Calibri"/>
          <w:sz w:val="24"/>
          <w:szCs w:val="24"/>
        </w:rPr>
        <w:t>, frente al 53% que directamente no lo haría.</w:t>
      </w:r>
    </w:p>
    <w:p w14:paraId="5D26481B" w14:textId="20177544" w:rsidR="00A04672" w:rsidRPr="00BC7F63" w:rsidRDefault="00A04672" w:rsidP="005370E1">
      <w:pPr>
        <w:jc w:val="both"/>
        <w:rPr>
          <w:rFonts w:ascii="Calibri" w:hAnsi="Calibri" w:cs="Calibri"/>
          <w:sz w:val="24"/>
          <w:szCs w:val="24"/>
        </w:rPr>
      </w:pPr>
      <w:r w:rsidRPr="00BC7F63">
        <w:rPr>
          <w:rFonts w:ascii="Calibri" w:hAnsi="Calibri" w:cs="Calibri"/>
          <w:sz w:val="24"/>
          <w:szCs w:val="24"/>
        </w:rPr>
        <w:t xml:space="preserve">Hay un dato especialmente significativo en un contexto de creciente adopción de inteligencia artificial: </w:t>
      </w:r>
      <w:r w:rsidRPr="00BC7F63">
        <w:rPr>
          <w:rFonts w:ascii="Calibri" w:hAnsi="Calibri" w:cs="Calibri"/>
          <w:b/>
          <w:bCs/>
          <w:sz w:val="24"/>
          <w:szCs w:val="24"/>
        </w:rPr>
        <w:t>las conversaciones mantenidas con IA aparecen como la información más protegida de todas las evaluadas. Apenas el 12% estaría dispuesto a compartirlas con una empresa a cambio de beneficios</w:t>
      </w:r>
      <w:r w:rsidRPr="00BC7F63">
        <w:rPr>
          <w:rFonts w:ascii="Calibri" w:hAnsi="Calibri" w:cs="Calibri"/>
          <w:sz w:val="24"/>
          <w:szCs w:val="24"/>
        </w:rPr>
        <w:t>, mientras que el 57% dice que no lo haría.</w:t>
      </w:r>
    </w:p>
    <w:p w14:paraId="10694BE3" w14:textId="460769CB" w:rsidR="00A04672" w:rsidRPr="00BC7F63" w:rsidRDefault="00A04672" w:rsidP="005370E1">
      <w:pPr>
        <w:jc w:val="both"/>
        <w:rPr>
          <w:rFonts w:ascii="Calibri" w:hAnsi="Calibri" w:cs="Calibri"/>
          <w:sz w:val="24"/>
          <w:szCs w:val="24"/>
        </w:rPr>
      </w:pPr>
      <w:r w:rsidRPr="00BC7F63">
        <w:rPr>
          <w:rFonts w:ascii="Calibri" w:hAnsi="Calibri" w:cs="Calibri"/>
          <w:sz w:val="24"/>
          <w:szCs w:val="24"/>
        </w:rPr>
        <w:t>El incentivo económico o comercial, además, tiene límites. Para todos los datos evaluados, entre 22% y 29% responde que su decisión “depende del beneficio”. El margen de negociación es algo mayor justamente en dos datos directamente relacionados con el consumo: historial de compras (29%) y gustos e intereses (27%). En cambio, frente a información como la ubicación, incluso ofrecer un beneficio parece tener menor capacidad para modificar la decisión.</w:t>
      </w:r>
    </w:p>
    <w:p w14:paraId="2A9D0BF0" w14:textId="77777777" w:rsidR="00956A58" w:rsidRPr="00BC7F63" w:rsidRDefault="00956A58" w:rsidP="005370E1">
      <w:pPr>
        <w:jc w:val="both"/>
        <w:rPr>
          <w:rFonts w:ascii="Calibri" w:hAnsi="Calibri" w:cs="Calibri"/>
          <w:sz w:val="24"/>
          <w:szCs w:val="24"/>
        </w:rPr>
      </w:pPr>
    </w:p>
    <w:p w14:paraId="55240F0F" w14:textId="4BCEADAD" w:rsidR="00956A58" w:rsidRPr="00BC7F63" w:rsidRDefault="00956A58" w:rsidP="00956A58">
      <w:pPr>
        <w:jc w:val="center"/>
        <w:rPr>
          <w:rFonts w:ascii="Calibri" w:hAnsi="Calibri" w:cs="Calibri"/>
          <w:b/>
          <w:bCs/>
          <w:i/>
          <w:iCs/>
          <w:color w:val="000000" w:themeColor="text1"/>
          <w:kern w:val="24"/>
          <w:sz w:val="24"/>
          <w:szCs w:val="24"/>
          <w14:ligatures w14:val="none"/>
        </w:rPr>
      </w:pPr>
      <w:r w:rsidRPr="00BC7F63">
        <w:rPr>
          <w:rFonts w:ascii="Calibri" w:hAnsi="Calibri" w:cs="Calibri"/>
          <w:b/>
          <w:bCs/>
          <w:i/>
          <w:iCs/>
          <w:color w:val="000000" w:themeColor="text1"/>
          <w:kern w:val="24"/>
          <w:sz w:val="24"/>
          <w:szCs w:val="24"/>
        </w:rPr>
        <w:lastRenderedPageBreak/>
        <w:t xml:space="preserve">¿Estaría dispuesto/a </w:t>
      </w:r>
      <w:proofErr w:type="spellStart"/>
      <w:r w:rsidRPr="00BC7F63">
        <w:rPr>
          <w:rFonts w:ascii="Calibri" w:hAnsi="Calibri" w:cs="Calibri"/>
          <w:b/>
          <w:bCs/>
          <w:i/>
          <w:iCs/>
          <w:color w:val="000000" w:themeColor="text1"/>
          <w:kern w:val="24"/>
          <w:sz w:val="24"/>
          <w:szCs w:val="24"/>
        </w:rPr>
        <w:t>a</w:t>
      </w:r>
      <w:proofErr w:type="spellEnd"/>
      <w:r w:rsidRPr="00BC7F63">
        <w:rPr>
          <w:rFonts w:ascii="Calibri" w:hAnsi="Calibri" w:cs="Calibri"/>
          <w:b/>
          <w:bCs/>
          <w:i/>
          <w:iCs/>
          <w:color w:val="000000" w:themeColor="text1"/>
          <w:kern w:val="24"/>
          <w:sz w:val="24"/>
          <w:szCs w:val="24"/>
        </w:rPr>
        <w:t xml:space="preserve"> compartir cada uno de los siguientes tipos de información con una empresa o marca a cambio de beneficios concretos, como descuentos, promociones o servicios personalizados?</w:t>
      </w:r>
    </w:p>
    <w:p w14:paraId="1CA44D2B" w14:textId="4C2B75C9" w:rsidR="00956A58" w:rsidRPr="00BC7F63" w:rsidRDefault="00956A58" w:rsidP="005370E1">
      <w:pPr>
        <w:jc w:val="both"/>
        <w:rPr>
          <w:rFonts w:ascii="Calibri" w:hAnsi="Calibri" w:cs="Calibri"/>
          <w:sz w:val="24"/>
          <w:szCs w:val="24"/>
        </w:rPr>
      </w:pPr>
      <w:r w:rsidRPr="00BC7F63">
        <w:rPr>
          <w:rFonts w:ascii="Calibri" w:hAnsi="Calibri" w:cs="Calibri"/>
          <w:noProof/>
          <w:sz w:val="24"/>
          <w:szCs w:val="24"/>
        </w:rPr>
        <w:drawing>
          <wp:inline distT="0" distB="0" distL="0" distR="0" wp14:anchorId="3A25C224" wp14:editId="45F7BD71">
            <wp:extent cx="5886450" cy="4629150"/>
            <wp:effectExtent l="0" t="0" r="0" b="0"/>
            <wp:docPr id="1531398688"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62F58F3" w14:textId="77777777" w:rsidR="00956A58" w:rsidRPr="00BC7F63" w:rsidRDefault="00956A58" w:rsidP="00956A58">
      <w:pPr>
        <w:jc w:val="center"/>
        <w:rPr>
          <w:rFonts w:ascii="Calibri" w:hAnsi="Calibri" w:cs="Calibri"/>
          <w:color w:val="0D0D0D"/>
          <w:kern w:val="24"/>
          <w:sz w:val="20"/>
          <w:szCs w:val="20"/>
          <w14:textFill>
            <w14:solidFill>
              <w14:srgbClr w14:val="0D0D0D">
                <w14:lumMod w14:val="95000"/>
                <w14:lumOff w14:val="5000"/>
              </w14:srgbClr>
            </w14:solidFill>
          </w14:textFill>
          <w14:ligatures w14:val="none"/>
        </w:rPr>
      </w:pPr>
      <w:proofErr w:type="gramStart"/>
      <w:r w:rsidRPr="00BC7F63">
        <w:rPr>
          <w:rFonts w:ascii="Calibri" w:hAnsi="Calibri" w:cs="Calibri"/>
          <w:color w:val="0D0D0D"/>
          <w:kern w:val="24"/>
          <w:sz w:val="20"/>
          <w:szCs w:val="20"/>
          <w14:textFill>
            <w14:solidFill>
              <w14:srgbClr w14:val="0D0D0D">
                <w14:lumMod w14:val="95000"/>
                <w14:lumOff w14:val="5000"/>
              </w14:srgbClr>
            </w14:solidFill>
          </w14:textFill>
        </w:rPr>
        <w:t>Estudio Nacional Voices!</w:t>
      </w:r>
      <w:proofErr w:type="gramEnd"/>
      <w:r w:rsidRPr="00BC7F63">
        <w:rPr>
          <w:rFonts w:ascii="Calibri" w:hAnsi="Calibri" w:cs="Calibri"/>
          <w:color w:val="0D0D0D"/>
          <w:kern w:val="24"/>
          <w:sz w:val="20"/>
          <w:szCs w:val="20"/>
          <w14:textFill>
            <w14:solidFill>
              <w14:srgbClr w14:val="0D0D0D">
                <w14:lumMod w14:val="95000"/>
                <w14:lumOff w14:val="5000"/>
              </w14:srgbClr>
            </w14:solidFill>
          </w14:textFill>
        </w:rPr>
        <w:t xml:space="preserve"> Base: Población adulta +16 años, SEPTIEMBRE 2026</w:t>
      </w:r>
    </w:p>
    <w:p w14:paraId="27B3C8B6" w14:textId="77777777" w:rsidR="00956A58" w:rsidRPr="00BC7F63" w:rsidRDefault="00956A58" w:rsidP="005370E1">
      <w:pPr>
        <w:jc w:val="both"/>
        <w:rPr>
          <w:rFonts w:ascii="Calibri" w:hAnsi="Calibri" w:cs="Calibri"/>
          <w:sz w:val="24"/>
          <w:szCs w:val="24"/>
        </w:rPr>
      </w:pPr>
    </w:p>
    <w:p w14:paraId="3290ECFA" w14:textId="77777777" w:rsidR="00A04672" w:rsidRPr="00BC7F63" w:rsidRDefault="00A04672" w:rsidP="005370E1">
      <w:pPr>
        <w:jc w:val="both"/>
        <w:rPr>
          <w:rFonts w:ascii="Calibri" w:hAnsi="Calibri" w:cs="Calibri"/>
          <w:sz w:val="24"/>
          <w:szCs w:val="24"/>
        </w:rPr>
      </w:pPr>
      <w:r w:rsidRPr="00BC7F63">
        <w:rPr>
          <w:rFonts w:ascii="Calibri" w:hAnsi="Calibri" w:cs="Calibri"/>
          <w:b/>
          <w:bCs/>
          <w:sz w:val="24"/>
          <w:szCs w:val="24"/>
        </w:rPr>
        <w:t>Los jóvenes</w:t>
      </w:r>
      <w:r w:rsidRPr="00BC7F63">
        <w:rPr>
          <w:rFonts w:ascii="Calibri" w:hAnsi="Calibri" w:cs="Calibri"/>
          <w:sz w:val="24"/>
          <w:szCs w:val="24"/>
        </w:rPr>
        <w:t xml:space="preserve"> vuelven a marcar una diferencia importante. Son el </w:t>
      </w:r>
      <w:r w:rsidRPr="00BC7F63">
        <w:rPr>
          <w:rFonts w:ascii="Calibri" w:hAnsi="Calibri" w:cs="Calibri"/>
          <w:b/>
          <w:bCs/>
          <w:sz w:val="24"/>
          <w:szCs w:val="24"/>
        </w:rPr>
        <w:t>segmento más dispuesto a compartir todos los tipos de información evaluados a cambio de beneficios.</w:t>
      </w:r>
      <w:r w:rsidRPr="00BC7F63">
        <w:rPr>
          <w:rFonts w:ascii="Calibri" w:hAnsi="Calibri" w:cs="Calibri"/>
          <w:sz w:val="24"/>
          <w:szCs w:val="24"/>
        </w:rPr>
        <w:t xml:space="preserve"> Por ejemplo, el 56% compartiría sus gustos e intereses, el 44% información sobre salud y bienestar, el 32% su historial de compras y el 24% incluso sus conversaciones con IA. A partir de los 50 años, esa apertura cae marcadamente.</w:t>
      </w:r>
    </w:p>
    <w:p w14:paraId="7CDFFE6B" w14:textId="77777777" w:rsidR="00A04672" w:rsidRPr="00BC7F63" w:rsidRDefault="00A04672" w:rsidP="005370E1">
      <w:pPr>
        <w:jc w:val="both"/>
        <w:rPr>
          <w:rFonts w:ascii="Calibri" w:hAnsi="Calibri" w:cs="Calibri"/>
          <w:sz w:val="24"/>
          <w:szCs w:val="24"/>
        </w:rPr>
      </w:pPr>
    </w:p>
    <w:p w14:paraId="5D4C2D88" w14:textId="77777777" w:rsidR="00090F7B" w:rsidRDefault="00090F7B" w:rsidP="005370E1">
      <w:pPr>
        <w:jc w:val="both"/>
        <w:rPr>
          <w:rFonts w:ascii="Calibri" w:hAnsi="Calibri" w:cs="Calibri"/>
          <w:b/>
          <w:bCs/>
          <w:color w:val="004F88"/>
          <w:sz w:val="28"/>
          <w:szCs w:val="28"/>
        </w:rPr>
      </w:pPr>
    </w:p>
    <w:p w14:paraId="7A42D4E5" w14:textId="77777777" w:rsidR="00090F7B" w:rsidRDefault="00090F7B" w:rsidP="005370E1">
      <w:pPr>
        <w:jc w:val="both"/>
        <w:rPr>
          <w:rFonts w:ascii="Calibri" w:hAnsi="Calibri" w:cs="Calibri"/>
          <w:b/>
          <w:bCs/>
          <w:color w:val="004F88"/>
          <w:sz w:val="28"/>
          <w:szCs w:val="28"/>
        </w:rPr>
      </w:pPr>
    </w:p>
    <w:p w14:paraId="31EBAB57" w14:textId="4E7BB104" w:rsidR="00A04672" w:rsidRPr="00BC7F63" w:rsidRDefault="00A04672" w:rsidP="005370E1">
      <w:pPr>
        <w:jc w:val="both"/>
        <w:rPr>
          <w:rFonts w:ascii="Calibri" w:hAnsi="Calibri" w:cs="Calibri"/>
          <w:b/>
          <w:bCs/>
          <w:color w:val="004F88"/>
          <w:sz w:val="28"/>
          <w:szCs w:val="28"/>
        </w:rPr>
      </w:pPr>
      <w:r w:rsidRPr="00BC7F63">
        <w:rPr>
          <w:rFonts w:ascii="Calibri" w:hAnsi="Calibri" w:cs="Calibri"/>
          <w:b/>
          <w:bCs/>
          <w:color w:val="004F88"/>
          <w:sz w:val="28"/>
          <w:szCs w:val="28"/>
        </w:rPr>
        <w:lastRenderedPageBreak/>
        <w:t>La transparencia puede transformarse en una ventaja para las marcas</w:t>
      </w:r>
    </w:p>
    <w:p w14:paraId="0E96CB91" w14:textId="2A26C531" w:rsidR="00A04672" w:rsidRPr="00BC7F63" w:rsidRDefault="00A04672" w:rsidP="005370E1">
      <w:pPr>
        <w:jc w:val="both"/>
        <w:rPr>
          <w:rFonts w:ascii="Calibri" w:hAnsi="Calibri" w:cs="Calibri"/>
          <w:sz w:val="24"/>
          <w:szCs w:val="24"/>
        </w:rPr>
      </w:pPr>
      <w:r w:rsidRPr="00BC7F63">
        <w:rPr>
          <w:rFonts w:ascii="Calibri" w:hAnsi="Calibri" w:cs="Calibri"/>
          <w:sz w:val="24"/>
          <w:szCs w:val="24"/>
        </w:rPr>
        <w:t>Si conocer demasiado puede generar rechazo, el estudio muestra también una posible vía para reducir esa tensión: explicar qué se sabe y qué se hace con esa información.</w:t>
      </w:r>
    </w:p>
    <w:p w14:paraId="4E63F767" w14:textId="02D51888" w:rsidR="00A04672" w:rsidRPr="00BC7F63" w:rsidRDefault="00A04672" w:rsidP="005370E1">
      <w:pPr>
        <w:jc w:val="both"/>
        <w:rPr>
          <w:rFonts w:ascii="Calibri" w:hAnsi="Calibri" w:cs="Calibri"/>
          <w:sz w:val="24"/>
          <w:szCs w:val="24"/>
        </w:rPr>
      </w:pPr>
      <w:r w:rsidRPr="00BC7F63">
        <w:rPr>
          <w:rFonts w:ascii="Calibri" w:hAnsi="Calibri" w:cs="Calibri"/>
          <w:b/>
          <w:bCs/>
          <w:sz w:val="24"/>
          <w:szCs w:val="24"/>
        </w:rPr>
        <w:t>El 44% de los argentinos confiaría más en una empresa o marca si explicara de manera clara y sencilla qué información tiene sobre ellos, cómo la obtuvo y para qué la utiliza</w:t>
      </w:r>
      <w:r w:rsidRPr="00BC7F63">
        <w:rPr>
          <w:rFonts w:ascii="Calibri" w:hAnsi="Calibri" w:cs="Calibri"/>
          <w:sz w:val="24"/>
          <w:szCs w:val="24"/>
        </w:rPr>
        <w:t>. Solo el 20% afirma que confiaría menos, mientras que para el 18% la confianza permanecería igual.</w:t>
      </w:r>
    </w:p>
    <w:p w14:paraId="25B25FB9" w14:textId="57A1CE20" w:rsidR="00BC7F63" w:rsidRPr="00BC7F63" w:rsidRDefault="00BC7F63" w:rsidP="005370E1">
      <w:pPr>
        <w:jc w:val="both"/>
        <w:rPr>
          <w:rFonts w:ascii="Calibri" w:hAnsi="Calibri" w:cs="Calibri"/>
          <w:sz w:val="24"/>
          <w:szCs w:val="24"/>
        </w:rPr>
      </w:pPr>
    </w:p>
    <w:p w14:paraId="0F9AD1BB" w14:textId="416CA5A9" w:rsidR="00BC7F63" w:rsidRPr="00BC7F63" w:rsidRDefault="00BC7F63" w:rsidP="00BC7F63">
      <w:pPr>
        <w:jc w:val="center"/>
        <w:rPr>
          <w:rFonts w:ascii="Calibri" w:hAnsi="Calibri" w:cs="Calibri"/>
          <w:i/>
          <w:iCs/>
          <w:sz w:val="32"/>
          <w:szCs w:val="32"/>
        </w:rPr>
      </w:pPr>
      <w:r w:rsidRPr="00BC7F63">
        <w:rPr>
          <w:rFonts w:ascii="Calibri" w:hAnsi="Calibri" w:cs="Calibri"/>
          <w:b/>
          <w:bCs/>
          <w:i/>
          <w:iCs/>
          <w:color w:val="000000" w:themeColor="text1"/>
          <w:kern w:val="24"/>
          <w:sz w:val="24"/>
          <w:szCs w:val="24"/>
        </w:rPr>
        <w:t>¿Confiaría más, igual o menos en una empresa o marca si explicara de manera clara y sencilla qué información tiene sobre usted, cómo la obtuvo y para qué la utiliza?</w:t>
      </w:r>
    </w:p>
    <w:p w14:paraId="5DAF4EAC" w14:textId="377EA3A9" w:rsidR="00BC7F63" w:rsidRPr="00BC7F63" w:rsidRDefault="000A3394" w:rsidP="00BC7F63">
      <w:pPr>
        <w:jc w:val="both"/>
        <w:rPr>
          <w:rFonts w:ascii="Calibri" w:hAnsi="Calibri" w:cs="Calibri"/>
          <w:sz w:val="24"/>
          <w:szCs w:val="24"/>
        </w:rPr>
      </w:pPr>
      <w:r w:rsidRPr="00BC7F63">
        <w:rPr>
          <w:rFonts w:ascii="Calibri" w:hAnsi="Calibri" w:cs="Calibri"/>
          <w:noProof/>
          <w:sz w:val="24"/>
          <w:szCs w:val="24"/>
        </w:rPr>
        <mc:AlternateContent>
          <mc:Choice Requires="wps">
            <w:drawing>
              <wp:anchor distT="0" distB="0" distL="114300" distR="114300" simplePos="0" relativeHeight="251660288" behindDoc="0" locked="0" layoutInCell="1" allowOverlap="1" wp14:anchorId="5AE5470B" wp14:editId="27161C82">
                <wp:simplePos x="0" y="0"/>
                <wp:positionH relativeFrom="column">
                  <wp:posOffset>4272915</wp:posOffset>
                </wp:positionH>
                <wp:positionV relativeFrom="paragraph">
                  <wp:posOffset>2594610</wp:posOffset>
                </wp:positionV>
                <wp:extent cx="628650" cy="485775"/>
                <wp:effectExtent l="0" t="0" r="19050" b="28575"/>
                <wp:wrapNone/>
                <wp:docPr id="16" name="Rectángulo 15">
                  <a:extLst xmlns:a="http://schemas.openxmlformats.org/drawingml/2006/main">
                    <a:ext uri="{FF2B5EF4-FFF2-40B4-BE49-F238E27FC236}">
                      <a16:creationId xmlns:a16="http://schemas.microsoft.com/office/drawing/2014/main" id="{826F4DF5-6FA0-C174-CF84-5CA750E46AFE}"/>
                    </a:ext>
                  </a:extLst>
                </wp:docPr>
                <wp:cNvGraphicFramePr/>
                <a:graphic xmlns:a="http://schemas.openxmlformats.org/drawingml/2006/main">
                  <a:graphicData uri="http://schemas.microsoft.com/office/word/2010/wordprocessingShape">
                    <wps:wsp>
                      <wps:cNvSpPr/>
                      <wps:spPr>
                        <a:xfrm>
                          <a:off x="0" y="0"/>
                          <a:ext cx="628650" cy="485775"/>
                        </a:xfrm>
                        <a:prstGeom prst="rect">
                          <a:avLst/>
                        </a:prstGeom>
                        <a:solidFill>
                          <a:srgbClr val="D7DF23"/>
                        </a:solidFill>
                        <a:ln w="25400" cap="flat" cmpd="sng" algn="ctr">
                          <a:solidFill>
                            <a:srgbClr val="D7DF23">
                              <a:lumMod val="75000"/>
                            </a:srgbClr>
                          </a:solidFill>
                          <a:prstDash val="solid"/>
                        </a:ln>
                        <a:effectLst/>
                      </wps:spPr>
                      <wps:txbx>
                        <w:txbxContent>
                          <w:p w14:paraId="064E205F" w14:textId="77777777" w:rsidR="00BC7F63" w:rsidRPr="007424CA" w:rsidRDefault="00BC7F63" w:rsidP="00BC7F63">
                            <w:pPr>
                              <w:jc w:val="center"/>
                              <w:rPr>
                                <w:rFonts w:ascii="Calibri" w:hAnsi="Calibri" w:cs="Calibri"/>
                                <w:b/>
                                <w:bCs/>
                                <w:color w:val="262626"/>
                                <w:kern w:val="0"/>
                                <w:sz w:val="36"/>
                                <w:szCs w:val="36"/>
                                <w14:textFill>
                                  <w14:solidFill>
                                    <w14:srgbClr w14:val="262626">
                                      <w14:lumMod w14:val="85000"/>
                                      <w14:lumOff w14:val="15000"/>
                                    </w14:srgbClr>
                                  </w14:solidFill>
                                </w14:textFill>
                                <w14:ligatures w14:val="none"/>
                              </w:rPr>
                            </w:pPr>
                            <w:r w:rsidRPr="007424CA">
                              <w:rPr>
                                <w:rFonts w:ascii="Calibri" w:hAnsi="Calibri" w:cs="Calibri"/>
                                <w:b/>
                                <w:bCs/>
                                <w:color w:val="262626"/>
                                <w:sz w:val="36"/>
                                <w:szCs w:val="36"/>
                                <w14:textFill>
                                  <w14:solidFill>
                                    <w14:srgbClr w14:val="262626">
                                      <w14:lumMod w14:val="85000"/>
                                      <w14:lumOff w14:val="15000"/>
                                    </w14:srgbClr>
                                  </w14:solidFill>
                                </w14:textFill>
                              </w:rPr>
                              <w:t>44%</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AE5470B" id="Rectángulo 15" o:spid="_x0000_s1027" style="position:absolute;left:0;text-align:left;margin-left:336.45pt;margin-top:204.3pt;width:49.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" fillcolor="#d7df23" strokecolor="#a3a919" strokeweight="2pt">
                <v:textbox>
                  <w:txbxContent>
                    <w:p w14:paraId="064E205F" w14:textId="77777777" w:rsidR="00BC7F63" w:rsidRPr="007424CA" w:rsidRDefault="00BC7F63" w:rsidP="00BC7F63">
                      <w:pPr>
                        <w:jc w:val="center"/>
                        <w:rPr>
                          <w:rFonts w:ascii="Calibri" w:hAnsi="Calibri" w:cs="Calibri"/>
                          <w:b/>
                          <w:bCs/>
                          <w:color w:val="262626"/>
                          <w:kern w:val="0"/>
                          <w:sz w:val="36"/>
                          <w:szCs w:val="36"/>
                          <w14:textFill>
                            <w14:solidFill>
                              <w14:srgbClr w14:val="262626">
                                <w14:lumMod w14:val="85000"/>
                                <w14:lumOff w14:val="15000"/>
                              </w14:srgbClr>
                            </w14:solidFill>
                          </w14:textFill>
                          <w14:ligatures w14:val="none"/>
                        </w:rPr>
                      </w:pPr>
                      <w:r w:rsidRPr="007424CA">
                        <w:rPr>
                          <w:rFonts w:ascii="Calibri" w:hAnsi="Calibri" w:cs="Calibri"/>
                          <w:b/>
                          <w:bCs/>
                          <w:color w:val="262626"/>
                          <w:sz w:val="36"/>
                          <w:szCs w:val="36"/>
                          <w14:textFill>
                            <w14:solidFill>
                              <w14:srgbClr w14:val="262626">
                                <w14:lumMod w14:val="85000"/>
                                <w14:lumOff w14:val="15000"/>
                              </w14:srgbClr>
                            </w14:solidFill>
                          </w14:textFill>
                        </w:rPr>
                        <w:t>44%</w:t>
                      </w:r>
                    </w:p>
                  </w:txbxContent>
                </v:textbox>
              </v:rect>
            </w:pict>
          </mc:Fallback>
        </mc:AlternateContent>
      </w:r>
      <w:r>
        <w:rPr>
          <w:rFonts w:ascii="Calibri" w:hAnsi="Calibri" w:cs="Calibri"/>
          <w:noProof/>
          <w:sz w:val="24"/>
          <w:szCs w:val="24"/>
        </w:rPr>
        <mc:AlternateContent>
          <mc:Choice Requires="wps">
            <w:drawing>
              <wp:anchor distT="0" distB="0" distL="114300" distR="114300" simplePos="0" relativeHeight="251665408" behindDoc="0" locked="0" layoutInCell="1" allowOverlap="1" wp14:anchorId="7093B2E5" wp14:editId="4C8FFF03">
                <wp:simplePos x="0" y="0"/>
                <wp:positionH relativeFrom="column">
                  <wp:posOffset>3768090</wp:posOffset>
                </wp:positionH>
                <wp:positionV relativeFrom="paragraph">
                  <wp:posOffset>2090420</wp:posOffset>
                </wp:positionV>
                <wp:extent cx="333375" cy="1381125"/>
                <wp:effectExtent l="0" t="0" r="28575" b="28575"/>
                <wp:wrapNone/>
                <wp:docPr id="2062734923" name="Cerrar llave 6"/>
                <wp:cNvGraphicFramePr/>
                <a:graphic xmlns:a="http://schemas.openxmlformats.org/drawingml/2006/main">
                  <a:graphicData uri="http://schemas.microsoft.com/office/word/2010/wordprocessingShape">
                    <wps:wsp>
                      <wps:cNvSpPr/>
                      <wps:spPr>
                        <a:xfrm>
                          <a:off x="0" y="0"/>
                          <a:ext cx="333375" cy="138112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16D5E5" id="Cerrar llave 6" o:spid="_x0000_s1026" type="#_x0000_t88" style="position:absolute;margin-left:296.7pt;margin-top:164.6pt;width:26.25pt;height:108.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" adj="434" strokecolor="black [3200]" strokeweight=".5pt">
                <v:stroke joinstyle="miter"/>
              </v:shape>
            </w:pict>
          </mc:Fallback>
        </mc:AlternateContent>
      </w:r>
      <w:r w:rsidR="00BC7F63" w:rsidRPr="00BC7F63">
        <w:rPr>
          <w:rFonts w:ascii="Calibri" w:hAnsi="Calibri" w:cs="Calibri"/>
          <w:noProof/>
          <w:sz w:val="24"/>
          <w:szCs w:val="24"/>
        </w:rPr>
        <w:drawing>
          <wp:inline distT="0" distB="0" distL="0" distR="0" wp14:anchorId="6E5D825A" wp14:editId="190B3553">
            <wp:extent cx="4219575" cy="3629025"/>
            <wp:effectExtent l="0" t="0" r="0" b="0"/>
            <wp:docPr id="18266577"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BC7F63" w:rsidRPr="00BC7F63">
        <w:rPr>
          <w:rFonts w:ascii="Calibri" w:hAnsi="Calibri" w:cs="Calibri"/>
          <w:noProof/>
        </w:rPr>
        <w:t xml:space="preserve"> </w:t>
      </w:r>
    </w:p>
    <w:p w14:paraId="007B56C6" w14:textId="77777777" w:rsidR="00BC7F63" w:rsidRPr="00BC7F63" w:rsidRDefault="00BC7F63" w:rsidP="00BC7F63">
      <w:pPr>
        <w:jc w:val="center"/>
        <w:rPr>
          <w:rFonts w:ascii="Calibri" w:hAnsi="Calibri" w:cs="Calibri"/>
          <w:color w:val="0D0D0D"/>
          <w:kern w:val="24"/>
          <w:sz w:val="20"/>
          <w:szCs w:val="20"/>
          <w14:textFill>
            <w14:solidFill>
              <w14:srgbClr w14:val="0D0D0D">
                <w14:lumMod w14:val="95000"/>
                <w14:lumOff w14:val="5000"/>
              </w14:srgbClr>
            </w14:solidFill>
          </w14:textFill>
          <w14:ligatures w14:val="none"/>
        </w:rPr>
      </w:pPr>
      <w:proofErr w:type="gramStart"/>
      <w:r w:rsidRPr="00BC7F63">
        <w:rPr>
          <w:rFonts w:ascii="Calibri" w:hAnsi="Calibri" w:cs="Calibri"/>
          <w:color w:val="0D0D0D"/>
          <w:kern w:val="24"/>
          <w:sz w:val="20"/>
          <w:szCs w:val="20"/>
          <w14:textFill>
            <w14:solidFill>
              <w14:srgbClr w14:val="0D0D0D">
                <w14:lumMod w14:val="95000"/>
                <w14:lumOff w14:val="5000"/>
              </w14:srgbClr>
            </w14:solidFill>
          </w14:textFill>
        </w:rPr>
        <w:t>Estudio Nacional Voices!</w:t>
      </w:r>
      <w:proofErr w:type="gramEnd"/>
      <w:r w:rsidRPr="00BC7F63">
        <w:rPr>
          <w:rFonts w:ascii="Calibri" w:hAnsi="Calibri" w:cs="Calibri"/>
          <w:color w:val="0D0D0D"/>
          <w:kern w:val="24"/>
          <w:sz w:val="20"/>
          <w:szCs w:val="20"/>
          <w14:textFill>
            <w14:solidFill>
              <w14:srgbClr w14:val="0D0D0D">
                <w14:lumMod w14:val="95000"/>
                <w14:lumOff w14:val="5000"/>
              </w14:srgbClr>
            </w14:solidFill>
          </w14:textFill>
        </w:rPr>
        <w:t xml:space="preserve"> Base: Población adulta +16 años, SEPTIEMBRE 2026</w:t>
      </w:r>
    </w:p>
    <w:p w14:paraId="1E355E9C" w14:textId="77777777" w:rsidR="00BC7F63" w:rsidRPr="00BC7F63" w:rsidRDefault="00BC7F63" w:rsidP="00BC7F63">
      <w:pPr>
        <w:jc w:val="both"/>
        <w:rPr>
          <w:rFonts w:ascii="Calibri" w:hAnsi="Calibri" w:cs="Calibri"/>
          <w:sz w:val="24"/>
          <w:szCs w:val="24"/>
        </w:rPr>
      </w:pPr>
    </w:p>
    <w:p w14:paraId="787CC190" w14:textId="51A7A179" w:rsidR="007424CA" w:rsidRPr="007424CA" w:rsidRDefault="00A04672" w:rsidP="005370E1">
      <w:pPr>
        <w:jc w:val="both"/>
        <w:rPr>
          <w:rFonts w:ascii="Calibri" w:hAnsi="Calibri" w:cs="Calibri"/>
          <w:sz w:val="24"/>
          <w:szCs w:val="24"/>
        </w:rPr>
      </w:pPr>
      <w:r w:rsidRPr="00BC7F63">
        <w:rPr>
          <w:rFonts w:ascii="Calibri" w:hAnsi="Calibri" w:cs="Calibri"/>
          <w:sz w:val="24"/>
          <w:szCs w:val="24"/>
        </w:rPr>
        <w:t xml:space="preserve">Entre los jóvenes el efecto es aún mayor: el </w:t>
      </w:r>
      <w:r w:rsidRPr="00BC7F63">
        <w:rPr>
          <w:rFonts w:ascii="Calibri" w:hAnsi="Calibri" w:cs="Calibri"/>
          <w:b/>
          <w:bCs/>
          <w:sz w:val="24"/>
          <w:szCs w:val="24"/>
        </w:rPr>
        <w:t xml:space="preserve">62% de las personas de 16 a 29 años confiaría más </w:t>
      </w:r>
      <w:r w:rsidRPr="00BC7F63">
        <w:rPr>
          <w:rFonts w:ascii="Calibri" w:hAnsi="Calibri" w:cs="Calibri"/>
          <w:sz w:val="24"/>
          <w:szCs w:val="24"/>
        </w:rPr>
        <w:t xml:space="preserve">en una empresa que actuara de esta manera. La cifra </w:t>
      </w:r>
      <w:r w:rsidR="00FF5A40" w:rsidRPr="00BC7F63">
        <w:rPr>
          <w:rFonts w:ascii="Calibri" w:hAnsi="Calibri" w:cs="Calibri"/>
          <w:sz w:val="24"/>
          <w:szCs w:val="24"/>
        </w:rPr>
        <w:t xml:space="preserve">también </w:t>
      </w:r>
      <w:r w:rsidR="00FF5A40" w:rsidRPr="00BC7F63">
        <w:rPr>
          <w:rFonts w:ascii="Calibri" w:hAnsi="Calibri" w:cs="Calibri"/>
          <w:b/>
          <w:bCs/>
          <w:sz w:val="24"/>
          <w:szCs w:val="24"/>
        </w:rPr>
        <w:t>crece a mayor nivel socioeconómico</w:t>
      </w:r>
      <w:r w:rsidR="00FF5A40" w:rsidRPr="00BC7F63">
        <w:rPr>
          <w:rFonts w:ascii="Calibri" w:hAnsi="Calibri" w:cs="Calibri"/>
          <w:sz w:val="24"/>
          <w:szCs w:val="24"/>
        </w:rPr>
        <w:t xml:space="preserve">: </w:t>
      </w:r>
      <w:r w:rsidRPr="00BC7F63">
        <w:rPr>
          <w:rFonts w:ascii="Calibri" w:hAnsi="Calibri" w:cs="Calibri"/>
          <w:sz w:val="24"/>
          <w:szCs w:val="24"/>
        </w:rPr>
        <w:t>alcanza el 53% tanto en ABC1 como en C2C3.</w:t>
      </w:r>
    </w:p>
    <w:p w14:paraId="4D9455A1" w14:textId="77777777" w:rsidR="007424CA" w:rsidRDefault="007424CA" w:rsidP="005370E1">
      <w:pPr>
        <w:jc w:val="both"/>
        <w:rPr>
          <w:rFonts w:ascii="Calibri" w:hAnsi="Calibri" w:cs="Calibri"/>
          <w:i/>
          <w:iCs/>
          <w:sz w:val="24"/>
          <w:szCs w:val="24"/>
        </w:rPr>
      </w:pPr>
    </w:p>
    <w:p w14:paraId="7BCBB7DA" w14:textId="651ABB67" w:rsidR="00A04672" w:rsidRPr="00BC7F63" w:rsidRDefault="00A04672" w:rsidP="005370E1">
      <w:pPr>
        <w:jc w:val="both"/>
        <w:rPr>
          <w:rFonts w:ascii="Calibri" w:hAnsi="Calibri" w:cs="Calibri"/>
          <w:sz w:val="24"/>
          <w:szCs w:val="24"/>
        </w:rPr>
      </w:pPr>
      <w:r w:rsidRPr="00BC7F63">
        <w:rPr>
          <w:rFonts w:ascii="Calibri" w:hAnsi="Calibri" w:cs="Calibri"/>
          <w:i/>
          <w:iCs/>
          <w:sz w:val="24"/>
          <w:szCs w:val="24"/>
        </w:rPr>
        <w:lastRenderedPageBreak/>
        <w:t xml:space="preserve">“Los consumidores no parecen estar rechazando </w:t>
      </w:r>
      <w:r w:rsidR="00FF5A40" w:rsidRPr="00BC7F63">
        <w:rPr>
          <w:rFonts w:ascii="Calibri" w:hAnsi="Calibri" w:cs="Calibri"/>
          <w:i/>
          <w:iCs/>
          <w:sz w:val="24"/>
          <w:szCs w:val="24"/>
        </w:rPr>
        <w:t>por completo</w:t>
      </w:r>
      <w:r w:rsidRPr="00BC7F63">
        <w:rPr>
          <w:rFonts w:ascii="Calibri" w:hAnsi="Calibri" w:cs="Calibri"/>
          <w:i/>
          <w:iCs/>
          <w:sz w:val="24"/>
          <w:szCs w:val="24"/>
        </w:rPr>
        <w:t xml:space="preserve"> el uso de datos, pero sí están poniendo condiciones. Quieren entender qué sabe una empresa sobre ellos, de dónde obtuvo esa información y para qué la utiliza. Para las marcas, hacer más transparente ese intercambio puede ser una oportunidad concreta para fortalecer la confianza y la relación con sus clientes”</w:t>
      </w:r>
      <w:r w:rsidRPr="00BC7F63">
        <w:rPr>
          <w:rFonts w:ascii="Calibri" w:hAnsi="Calibri" w:cs="Calibri"/>
          <w:sz w:val="24"/>
          <w:szCs w:val="24"/>
        </w:rPr>
        <w:t>, explica Cilley.</w:t>
      </w:r>
    </w:p>
    <w:p w14:paraId="51593263" w14:textId="66FD3284" w:rsidR="00A04672" w:rsidRPr="00BC7F63" w:rsidRDefault="00A04672" w:rsidP="005370E1">
      <w:pPr>
        <w:jc w:val="both"/>
        <w:rPr>
          <w:rFonts w:ascii="Calibri" w:hAnsi="Calibri" w:cs="Calibri"/>
          <w:sz w:val="24"/>
          <w:szCs w:val="24"/>
        </w:rPr>
      </w:pPr>
      <w:r w:rsidRPr="00BC7F63">
        <w:rPr>
          <w:rFonts w:ascii="Calibri" w:hAnsi="Calibri" w:cs="Calibri"/>
          <w:b/>
          <w:bCs/>
          <w:sz w:val="24"/>
          <w:szCs w:val="24"/>
        </w:rPr>
        <w:t>Los resultados plantean así un desafío que va más allá de la privacidad: cómo construir una personalización que sea relevante sin resultar invasiva.</w:t>
      </w:r>
      <w:r w:rsidR="00FF5A40" w:rsidRPr="00BC7F63">
        <w:rPr>
          <w:rFonts w:ascii="Calibri" w:hAnsi="Calibri" w:cs="Calibri"/>
          <w:sz w:val="24"/>
          <w:szCs w:val="24"/>
        </w:rPr>
        <w:t xml:space="preserve"> </w:t>
      </w:r>
      <w:r w:rsidRPr="00BC7F63">
        <w:rPr>
          <w:rFonts w:ascii="Calibri" w:hAnsi="Calibri" w:cs="Calibri"/>
          <w:sz w:val="24"/>
          <w:szCs w:val="24"/>
        </w:rPr>
        <w:t>Segmentar las estrategias según las distintas sensibilidades, pedir datos en función del valor que realmente aportan, ofrecer beneficios claros y explicar por qué una persona recibe determinada recomendación aparecen como caminos para lograrlo.</w:t>
      </w:r>
    </w:p>
    <w:p w14:paraId="65EED41B" w14:textId="77777777" w:rsidR="00A04672" w:rsidRPr="00BC7F63" w:rsidRDefault="00A04672" w:rsidP="005370E1">
      <w:pPr>
        <w:jc w:val="both"/>
        <w:rPr>
          <w:rFonts w:ascii="Calibri" w:hAnsi="Calibri" w:cs="Calibri"/>
          <w:sz w:val="24"/>
          <w:szCs w:val="24"/>
        </w:rPr>
      </w:pPr>
    </w:p>
    <w:p w14:paraId="24387B7E" w14:textId="77777777" w:rsidR="00956A58" w:rsidRPr="00BC7F63" w:rsidRDefault="00956A58" w:rsidP="00956A58">
      <w:pPr>
        <w:spacing w:before="100" w:beforeAutospacing="1" w:after="100" w:afterAutospacing="1"/>
        <w:jc w:val="both"/>
        <w:rPr>
          <w:rFonts w:ascii="Calibri" w:eastAsia="Times New Roman" w:hAnsi="Calibri" w:cs="Calibri"/>
          <w:kern w:val="0"/>
          <w:sz w:val="24"/>
          <w:szCs w:val="24"/>
          <w:lang w:eastAsia="es-AR"/>
          <w14:ligatures w14:val="none"/>
        </w:rPr>
      </w:pPr>
      <w:proofErr w:type="gramStart"/>
      <w:r w:rsidRPr="00BC7F63">
        <w:rPr>
          <w:rFonts w:ascii="Calibri" w:eastAsia="Times New Roman" w:hAnsi="Calibri" w:cs="Calibri"/>
          <w:b/>
          <w:bCs/>
          <w:kern w:val="0"/>
          <w:sz w:val="24"/>
          <w:szCs w:val="24"/>
          <w:lang w:eastAsia="es-AR"/>
          <w14:ligatures w14:val="none"/>
        </w:rPr>
        <w:t>Acerca de Voices!</w:t>
      </w:r>
      <w:proofErr w:type="gramEnd"/>
    </w:p>
    <w:p w14:paraId="25E64620" w14:textId="77777777" w:rsidR="00956A58" w:rsidRPr="00BC7F63" w:rsidRDefault="00956A58" w:rsidP="00956A58">
      <w:pPr>
        <w:spacing w:before="100" w:beforeAutospacing="1" w:after="100" w:afterAutospacing="1"/>
        <w:jc w:val="both"/>
        <w:rPr>
          <w:rFonts w:ascii="Calibri" w:eastAsia="Times New Roman" w:hAnsi="Calibri" w:cs="Calibri"/>
          <w:kern w:val="0"/>
          <w:sz w:val="24"/>
          <w:szCs w:val="24"/>
          <w:lang w:eastAsia="es-AR"/>
          <w14:ligatures w14:val="none"/>
        </w:rPr>
      </w:pPr>
      <w:r w:rsidRPr="00BC7F63">
        <w:rPr>
          <w:rFonts w:ascii="Calibri" w:eastAsia="Times New Roman" w:hAnsi="Calibri" w:cs="Calibri"/>
          <w:kern w:val="0"/>
          <w:sz w:val="24"/>
          <w:szCs w:val="24"/>
          <w:lang w:eastAsia="es-AR"/>
          <w14:ligatures w14:val="none"/>
        </w:rPr>
        <w:t xml:space="preserve">Voices! Research &amp; Consultancy es una empresa con foco en la investigación social, política y de mercado, con el objetivo de proporcionar consultoría a las organizaciones usando rigurosas metodologías y enfoques innovadores. </w:t>
      </w:r>
      <w:proofErr w:type="gramStart"/>
      <w:r w:rsidRPr="00BC7F63">
        <w:rPr>
          <w:rFonts w:ascii="Calibri" w:eastAsia="Times New Roman" w:hAnsi="Calibri" w:cs="Calibri"/>
          <w:kern w:val="0"/>
          <w:sz w:val="24"/>
          <w:szCs w:val="24"/>
          <w:lang w:eastAsia="es-AR"/>
          <w14:ligatures w14:val="none"/>
        </w:rPr>
        <w:t>El equipo de VOICES!</w:t>
      </w:r>
      <w:proofErr w:type="gramEnd"/>
      <w:r w:rsidRPr="00BC7F63">
        <w:rPr>
          <w:rFonts w:ascii="Calibri" w:eastAsia="Times New Roman" w:hAnsi="Calibri" w:cs="Calibri"/>
          <w:kern w:val="0"/>
          <w:sz w:val="24"/>
          <w:szCs w:val="24"/>
          <w:lang w:eastAsia="es-AR"/>
          <w14:ligatures w14:val="none"/>
        </w:rPr>
        <w:t xml:space="preserve"> tiene una amplia experiencia en estudios nacionales e internacionales y ha participado en las investigaciones con encuestas más importantes del mundo.</w:t>
      </w:r>
    </w:p>
    <w:p w14:paraId="0E1CF9B1" w14:textId="77777777" w:rsidR="00956A58" w:rsidRPr="00BC7F63" w:rsidRDefault="00956A58" w:rsidP="00956A58">
      <w:pPr>
        <w:spacing w:before="100" w:beforeAutospacing="1" w:after="100" w:afterAutospacing="1"/>
        <w:jc w:val="both"/>
        <w:rPr>
          <w:rFonts w:ascii="Calibri" w:eastAsia="Times New Roman" w:hAnsi="Calibri" w:cs="Calibri"/>
          <w:kern w:val="0"/>
          <w:sz w:val="24"/>
          <w:szCs w:val="24"/>
          <w:lang w:eastAsia="es-AR"/>
          <w14:ligatures w14:val="none"/>
        </w:rPr>
      </w:pPr>
      <w:r w:rsidRPr="00BC7F63">
        <w:rPr>
          <w:rFonts w:ascii="Calibri" w:eastAsia="Times New Roman" w:hAnsi="Calibri" w:cs="Calibri"/>
          <w:kern w:val="0"/>
          <w:sz w:val="24"/>
          <w:szCs w:val="24"/>
          <w:lang w:eastAsia="es-AR"/>
          <w14:ligatures w14:val="none"/>
        </w:rPr>
        <w:t>Voices! es integrante de la red realizando los estudios en Argentina.</w:t>
      </w:r>
    </w:p>
    <w:p w14:paraId="08A3BA65" w14:textId="77777777" w:rsidR="00956A58" w:rsidRPr="007F570E" w:rsidRDefault="00956A58" w:rsidP="00956A58">
      <w:pPr>
        <w:spacing w:before="100" w:beforeAutospacing="1" w:after="100" w:afterAutospacing="1"/>
        <w:jc w:val="both"/>
        <w:rPr>
          <w:rFonts w:ascii="Calibri" w:eastAsia="Times New Roman" w:hAnsi="Calibri" w:cs="Calibri"/>
          <w:kern w:val="0"/>
          <w:sz w:val="24"/>
          <w:szCs w:val="24"/>
          <w:lang w:eastAsia="es-AR"/>
          <w14:ligatures w14:val="none"/>
        </w:rPr>
      </w:pPr>
      <w:hyperlink r:id="rId10" w:history="1">
        <w:r w:rsidRPr="007F570E">
          <w:rPr>
            <w:rStyle w:val="Hipervnculo"/>
            <w:rFonts w:ascii="Calibri" w:eastAsia="Times New Roman" w:hAnsi="Calibri" w:cs="Calibri"/>
            <w:kern w:val="0"/>
            <w:sz w:val="24"/>
            <w:szCs w:val="24"/>
            <w:lang w:eastAsia="es-AR"/>
            <w14:ligatures w14:val="none"/>
          </w:rPr>
          <w:t>http://www.voicesconsultancy.com/</w:t>
        </w:r>
      </w:hyperlink>
      <w:r w:rsidRPr="007F570E">
        <w:rPr>
          <w:rFonts w:ascii="Calibri" w:eastAsia="Times New Roman" w:hAnsi="Calibri" w:cs="Calibri"/>
          <w:kern w:val="0"/>
          <w:sz w:val="24"/>
          <w:szCs w:val="24"/>
          <w:lang w:eastAsia="es-AR"/>
          <w14:ligatures w14:val="none"/>
        </w:rPr>
        <w:t>  </w:t>
      </w:r>
    </w:p>
    <w:p w14:paraId="7D1AC132" w14:textId="77777777" w:rsidR="00956A58" w:rsidRPr="00BC7F63" w:rsidRDefault="00956A58" w:rsidP="00956A58">
      <w:pPr>
        <w:jc w:val="both"/>
        <w:rPr>
          <w:rFonts w:ascii="Calibri" w:hAnsi="Calibri" w:cs="Calibri"/>
          <w:sz w:val="24"/>
          <w:szCs w:val="24"/>
        </w:rPr>
      </w:pPr>
    </w:p>
    <w:p w14:paraId="1783355C" w14:textId="77777777" w:rsidR="00956A58" w:rsidRPr="00BC7F63" w:rsidRDefault="00956A58" w:rsidP="00956A58">
      <w:pPr>
        <w:jc w:val="both"/>
        <w:rPr>
          <w:rFonts w:ascii="Calibri" w:hAnsi="Calibri" w:cs="Calibri"/>
          <w:b/>
          <w:bCs/>
          <w:sz w:val="24"/>
          <w:szCs w:val="24"/>
        </w:rPr>
      </w:pPr>
      <w:r w:rsidRPr="00BC7F63">
        <w:rPr>
          <w:rFonts w:ascii="Calibri" w:hAnsi="Calibri" w:cs="Calibri"/>
          <w:b/>
          <w:bCs/>
          <w:sz w:val="24"/>
          <w:szCs w:val="24"/>
        </w:rPr>
        <w:t>Sobre el estudio</w:t>
      </w:r>
    </w:p>
    <w:p w14:paraId="047CCF2D" w14:textId="26EA7520" w:rsidR="00956A58" w:rsidRDefault="00956A58" w:rsidP="007424CA">
      <w:pPr>
        <w:jc w:val="both"/>
        <w:rPr>
          <w:rFonts w:ascii="Calibri" w:hAnsi="Calibri" w:cs="Calibri"/>
          <w:sz w:val="24"/>
          <w:szCs w:val="24"/>
        </w:rPr>
      </w:pPr>
      <w:proofErr w:type="gramStart"/>
      <w:r w:rsidRPr="00BC7F63">
        <w:rPr>
          <w:rFonts w:ascii="Calibri" w:hAnsi="Calibri" w:cs="Calibri"/>
          <w:sz w:val="24"/>
          <w:szCs w:val="24"/>
        </w:rPr>
        <w:t>Estudio Nacional de Opinión Pública realizado por Voices!</w:t>
      </w:r>
      <w:proofErr w:type="gramEnd"/>
      <w:r w:rsidRPr="00BC7F63">
        <w:rPr>
          <w:rFonts w:ascii="Calibri" w:hAnsi="Calibri" w:cs="Calibri"/>
          <w:sz w:val="24"/>
          <w:szCs w:val="24"/>
        </w:rPr>
        <w:t xml:space="preserve"> entre población de 16 años y más, con cobertura nacional y 809 casos mediante encuestas online.</w:t>
      </w:r>
    </w:p>
    <w:p w14:paraId="7FD5BC66" w14:textId="77777777" w:rsidR="007424CA" w:rsidRPr="007424CA" w:rsidRDefault="007424CA" w:rsidP="007424CA">
      <w:pPr>
        <w:jc w:val="both"/>
        <w:rPr>
          <w:rFonts w:ascii="Calibri" w:hAnsi="Calibri" w:cs="Calibri"/>
          <w:sz w:val="24"/>
          <w:szCs w:val="24"/>
        </w:rPr>
      </w:pPr>
    </w:p>
    <w:p w14:paraId="4324ACEA" w14:textId="2C8FA21E" w:rsidR="00956A58" w:rsidRPr="00BC7F63" w:rsidRDefault="00956A58" w:rsidP="00956A58">
      <w:pPr>
        <w:spacing w:before="100" w:beforeAutospacing="1" w:after="100" w:afterAutospacing="1"/>
        <w:jc w:val="both"/>
        <w:rPr>
          <w:rFonts w:ascii="Calibri" w:eastAsia="Times New Roman" w:hAnsi="Calibri" w:cs="Calibri"/>
          <w:kern w:val="0"/>
          <w:sz w:val="24"/>
          <w:szCs w:val="24"/>
          <w:lang w:val="en-GB" w:eastAsia="es-AR"/>
          <w14:ligatures w14:val="none"/>
        </w:rPr>
      </w:pPr>
      <w:r w:rsidRPr="00BC7F63">
        <w:rPr>
          <w:rFonts w:ascii="Calibri" w:eastAsia="Times New Roman" w:hAnsi="Calibri" w:cs="Calibri"/>
          <w:b/>
          <w:bCs/>
          <w:kern w:val="0"/>
          <w:sz w:val="24"/>
          <w:szCs w:val="24"/>
          <w:lang w:val="en-GB" w:eastAsia="es-AR"/>
          <w14:ligatures w14:val="none"/>
        </w:rPr>
        <w:t>Contacto Voices!</w:t>
      </w:r>
    </w:p>
    <w:p w14:paraId="710A765B" w14:textId="77777777" w:rsidR="00956A58" w:rsidRPr="00BC7F63" w:rsidRDefault="00956A58" w:rsidP="00956A58">
      <w:pPr>
        <w:spacing w:before="100" w:beforeAutospacing="1" w:after="100" w:afterAutospacing="1"/>
        <w:jc w:val="both"/>
        <w:rPr>
          <w:rFonts w:ascii="Calibri" w:eastAsia="Times New Roman" w:hAnsi="Calibri" w:cs="Calibri"/>
          <w:kern w:val="0"/>
          <w:sz w:val="24"/>
          <w:szCs w:val="24"/>
          <w:lang w:eastAsia="es-AR"/>
          <w14:ligatures w14:val="none"/>
        </w:rPr>
      </w:pPr>
      <w:r w:rsidRPr="00BC7F63">
        <w:rPr>
          <w:rFonts w:ascii="Calibri" w:eastAsia="Times New Roman" w:hAnsi="Calibri" w:cs="Calibri"/>
          <w:kern w:val="0"/>
          <w:sz w:val="24"/>
          <w:szCs w:val="24"/>
          <w:lang w:eastAsia="es-AR"/>
          <w14:ligatures w14:val="none"/>
        </w:rPr>
        <w:t xml:space="preserve">Constanza Cilley | </w:t>
      </w:r>
      <w:proofErr w:type="gramStart"/>
      <w:r w:rsidRPr="00BC7F63">
        <w:rPr>
          <w:rFonts w:ascii="Calibri" w:eastAsia="Times New Roman" w:hAnsi="Calibri" w:cs="Calibri"/>
          <w:kern w:val="0"/>
          <w:sz w:val="24"/>
          <w:szCs w:val="24"/>
          <w:lang w:eastAsia="es-AR"/>
          <w14:ligatures w14:val="none"/>
        </w:rPr>
        <w:t>Directora Ejecutiva</w:t>
      </w:r>
      <w:proofErr w:type="gramEnd"/>
      <w:r w:rsidRPr="00BC7F63">
        <w:rPr>
          <w:rFonts w:ascii="Calibri" w:eastAsia="Times New Roman" w:hAnsi="Calibri" w:cs="Calibri"/>
          <w:kern w:val="0"/>
          <w:sz w:val="24"/>
          <w:szCs w:val="24"/>
          <w:lang w:eastAsia="es-AR"/>
          <w14:ligatures w14:val="none"/>
        </w:rPr>
        <w:t xml:space="preserve"> VOICES!</w:t>
      </w:r>
    </w:p>
    <w:p w14:paraId="396B69BC" w14:textId="77777777" w:rsidR="00956A58" w:rsidRPr="00BC7F63" w:rsidRDefault="00956A58" w:rsidP="00956A58">
      <w:pPr>
        <w:spacing w:before="100" w:beforeAutospacing="1" w:after="100" w:afterAutospacing="1"/>
        <w:jc w:val="both"/>
        <w:rPr>
          <w:rFonts w:ascii="Calibri" w:eastAsia="Times New Roman" w:hAnsi="Calibri" w:cs="Calibri"/>
          <w:kern w:val="0"/>
          <w:sz w:val="24"/>
          <w:szCs w:val="24"/>
          <w:lang w:eastAsia="es-AR"/>
          <w14:ligatures w14:val="none"/>
        </w:rPr>
      </w:pPr>
      <w:hyperlink r:id="rId11" w:history="1">
        <w:r w:rsidRPr="00BC7F63">
          <w:rPr>
            <w:rStyle w:val="Hipervnculo"/>
            <w:rFonts w:ascii="Calibri" w:eastAsia="Times New Roman" w:hAnsi="Calibri" w:cs="Calibri"/>
            <w:kern w:val="0"/>
            <w:sz w:val="24"/>
            <w:szCs w:val="24"/>
            <w:lang w:eastAsia="es-AR"/>
            <w14:ligatures w14:val="none"/>
          </w:rPr>
          <w:t>constanzacilley@voicesconsultancy.com</w:t>
        </w:r>
      </w:hyperlink>
    </w:p>
    <w:p w14:paraId="1547ACF2" w14:textId="45A99DA6" w:rsidR="00C85CCE" w:rsidRPr="007424CA" w:rsidRDefault="00956A58" w:rsidP="007424CA">
      <w:pPr>
        <w:spacing w:before="100" w:beforeAutospacing="1" w:after="100" w:afterAutospacing="1"/>
        <w:jc w:val="both"/>
        <w:rPr>
          <w:rFonts w:ascii="Calibri" w:eastAsia="Times New Roman" w:hAnsi="Calibri" w:cs="Calibri"/>
          <w:kern w:val="0"/>
          <w:sz w:val="24"/>
          <w:szCs w:val="24"/>
          <w:lang w:eastAsia="es-AR"/>
          <w14:ligatures w14:val="none"/>
        </w:rPr>
      </w:pPr>
      <w:r w:rsidRPr="00BC7F63">
        <w:rPr>
          <w:rFonts w:ascii="Calibri" w:eastAsia="Times New Roman" w:hAnsi="Calibri" w:cs="Calibri"/>
          <w:kern w:val="0"/>
          <w:sz w:val="24"/>
          <w:szCs w:val="24"/>
          <w:lang w:eastAsia="es-AR"/>
          <w14:ligatures w14:val="none"/>
        </w:rPr>
        <w:t>Cel: 1565724467</w:t>
      </w:r>
    </w:p>
    <w:sectPr w:rsidR="00C85CCE" w:rsidRPr="007424CA">
      <w:head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B8ABB" w14:textId="77777777" w:rsidR="007657C9" w:rsidRPr="005370E1" w:rsidRDefault="007657C9" w:rsidP="00A04672">
      <w:pPr>
        <w:spacing w:after="0" w:line="240" w:lineRule="auto"/>
      </w:pPr>
      <w:r w:rsidRPr="005370E1">
        <w:separator/>
      </w:r>
    </w:p>
  </w:endnote>
  <w:endnote w:type="continuationSeparator" w:id="0">
    <w:p w14:paraId="4F1B18AD" w14:textId="77777777" w:rsidR="007657C9" w:rsidRPr="005370E1" w:rsidRDefault="007657C9" w:rsidP="00A04672">
      <w:pPr>
        <w:spacing w:after="0" w:line="240" w:lineRule="auto"/>
      </w:pPr>
      <w:r w:rsidRPr="005370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929A8" w14:textId="77777777" w:rsidR="007657C9" w:rsidRPr="005370E1" w:rsidRDefault="007657C9" w:rsidP="00A04672">
      <w:pPr>
        <w:spacing w:after="0" w:line="240" w:lineRule="auto"/>
      </w:pPr>
      <w:r w:rsidRPr="005370E1">
        <w:separator/>
      </w:r>
    </w:p>
  </w:footnote>
  <w:footnote w:type="continuationSeparator" w:id="0">
    <w:p w14:paraId="07EBBBF3" w14:textId="77777777" w:rsidR="007657C9" w:rsidRPr="005370E1" w:rsidRDefault="007657C9" w:rsidP="00A04672">
      <w:pPr>
        <w:spacing w:after="0" w:line="240" w:lineRule="auto"/>
      </w:pPr>
      <w:r w:rsidRPr="005370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92F45" w14:textId="27AF5833" w:rsidR="00A04672" w:rsidRPr="005370E1" w:rsidRDefault="00A04672">
    <w:pPr>
      <w:pStyle w:val="Encabezado"/>
    </w:pPr>
    <w:r w:rsidRPr="005370E1">
      <w:rPr>
        <w:rFonts w:ascii="Calibri" w:hAnsi="Calibri" w:cs="Calibri"/>
        <w:noProof/>
        <w:color w:val="000000"/>
        <w:bdr w:val="none" w:sz="0" w:space="0" w:color="auto" w:frame="1"/>
      </w:rPr>
      <w:drawing>
        <wp:inline distT="0" distB="0" distL="0" distR="0" wp14:anchorId="0CD775EC" wp14:editId="67B2434B">
          <wp:extent cx="947057" cy="685800"/>
          <wp:effectExtent l="0" t="0" r="5715" b="0"/>
          <wp:docPr id="723086259"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o, nombre de la empres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3570" cy="69051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672"/>
    <w:rsid w:val="00090F7B"/>
    <w:rsid w:val="000A3394"/>
    <w:rsid w:val="003520CC"/>
    <w:rsid w:val="00505296"/>
    <w:rsid w:val="005370E1"/>
    <w:rsid w:val="005D352C"/>
    <w:rsid w:val="005F648C"/>
    <w:rsid w:val="00677F60"/>
    <w:rsid w:val="007424CA"/>
    <w:rsid w:val="007657C9"/>
    <w:rsid w:val="00792E18"/>
    <w:rsid w:val="007B3D32"/>
    <w:rsid w:val="007F570E"/>
    <w:rsid w:val="009518AC"/>
    <w:rsid w:val="00956A58"/>
    <w:rsid w:val="009F5AB4"/>
    <w:rsid w:val="00A04672"/>
    <w:rsid w:val="00A86846"/>
    <w:rsid w:val="00B50A8C"/>
    <w:rsid w:val="00BC7F63"/>
    <w:rsid w:val="00C0533F"/>
    <w:rsid w:val="00C85CCE"/>
    <w:rsid w:val="00CC6A87"/>
    <w:rsid w:val="00F67EF1"/>
    <w:rsid w:val="00FF5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161CE"/>
  <w15:chartTrackingRefBased/>
  <w15:docId w15:val="{92043EC0-A83D-489D-8F7A-99F55818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AR"/>
    </w:rPr>
  </w:style>
  <w:style w:type="paragraph" w:styleId="Ttulo1">
    <w:name w:val="heading 1"/>
    <w:basedOn w:val="Normal"/>
    <w:next w:val="Normal"/>
    <w:link w:val="Ttulo1Car"/>
    <w:uiPriority w:val="9"/>
    <w:qFormat/>
    <w:rsid w:val="00A0467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A0467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A04672"/>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A04672"/>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A04672"/>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A046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046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046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0467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04672"/>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semiHidden/>
    <w:rsid w:val="00A04672"/>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A04672"/>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A04672"/>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A04672"/>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A046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046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046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04672"/>
    <w:rPr>
      <w:rFonts w:eastAsiaTheme="majorEastAsia" w:cstheme="majorBidi"/>
      <w:color w:val="272727" w:themeColor="text1" w:themeTint="D8"/>
    </w:rPr>
  </w:style>
  <w:style w:type="paragraph" w:styleId="Ttulo">
    <w:name w:val="Title"/>
    <w:basedOn w:val="Normal"/>
    <w:next w:val="Normal"/>
    <w:link w:val="TtuloCar"/>
    <w:uiPriority w:val="10"/>
    <w:qFormat/>
    <w:rsid w:val="00A046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046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0467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046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04672"/>
    <w:pPr>
      <w:spacing w:before="160"/>
      <w:jc w:val="center"/>
    </w:pPr>
    <w:rPr>
      <w:i/>
      <w:iCs/>
      <w:color w:val="404040" w:themeColor="text1" w:themeTint="BF"/>
    </w:rPr>
  </w:style>
  <w:style w:type="character" w:customStyle="1" w:styleId="CitaCar">
    <w:name w:val="Cita Car"/>
    <w:basedOn w:val="Fuentedeprrafopredeter"/>
    <w:link w:val="Cita"/>
    <w:uiPriority w:val="29"/>
    <w:rsid w:val="00A04672"/>
    <w:rPr>
      <w:i/>
      <w:iCs/>
      <w:color w:val="404040" w:themeColor="text1" w:themeTint="BF"/>
    </w:rPr>
  </w:style>
  <w:style w:type="paragraph" w:styleId="Prrafodelista">
    <w:name w:val="List Paragraph"/>
    <w:basedOn w:val="Normal"/>
    <w:uiPriority w:val="34"/>
    <w:qFormat/>
    <w:rsid w:val="00A04672"/>
    <w:pPr>
      <w:ind w:left="720"/>
      <w:contextualSpacing/>
    </w:pPr>
  </w:style>
  <w:style w:type="character" w:styleId="nfasisintenso">
    <w:name w:val="Intense Emphasis"/>
    <w:basedOn w:val="Fuentedeprrafopredeter"/>
    <w:uiPriority w:val="21"/>
    <w:qFormat/>
    <w:rsid w:val="00A04672"/>
    <w:rPr>
      <w:i/>
      <w:iCs/>
      <w:color w:val="2E74B5" w:themeColor="accent1" w:themeShade="BF"/>
    </w:rPr>
  </w:style>
  <w:style w:type="paragraph" w:styleId="Citadestacada">
    <w:name w:val="Intense Quote"/>
    <w:basedOn w:val="Normal"/>
    <w:next w:val="Normal"/>
    <w:link w:val="CitadestacadaCar"/>
    <w:uiPriority w:val="30"/>
    <w:qFormat/>
    <w:rsid w:val="00A0467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A04672"/>
    <w:rPr>
      <w:i/>
      <w:iCs/>
      <w:color w:val="2E74B5" w:themeColor="accent1" w:themeShade="BF"/>
    </w:rPr>
  </w:style>
  <w:style w:type="character" w:styleId="Referenciaintensa">
    <w:name w:val="Intense Reference"/>
    <w:basedOn w:val="Fuentedeprrafopredeter"/>
    <w:uiPriority w:val="32"/>
    <w:qFormat/>
    <w:rsid w:val="00A04672"/>
    <w:rPr>
      <w:b/>
      <w:bCs/>
      <w:smallCaps/>
      <w:color w:val="2E74B5" w:themeColor="accent1" w:themeShade="BF"/>
      <w:spacing w:val="5"/>
    </w:rPr>
  </w:style>
  <w:style w:type="paragraph" w:styleId="Encabezado">
    <w:name w:val="header"/>
    <w:basedOn w:val="Normal"/>
    <w:link w:val="EncabezadoCar"/>
    <w:uiPriority w:val="99"/>
    <w:unhideWhenUsed/>
    <w:rsid w:val="00A0467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672"/>
  </w:style>
  <w:style w:type="paragraph" w:styleId="Piedepgina">
    <w:name w:val="footer"/>
    <w:basedOn w:val="Normal"/>
    <w:link w:val="PiedepginaCar"/>
    <w:uiPriority w:val="99"/>
    <w:unhideWhenUsed/>
    <w:rsid w:val="00A0467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672"/>
  </w:style>
  <w:style w:type="character" w:styleId="Hipervnculo">
    <w:name w:val="Hyperlink"/>
    <w:basedOn w:val="Fuentedeprrafopredeter"/>
    <w:uiPriority w:val="99"/>
    <w:unhideWhenUsed/>
    <w:rsid w:val="00C85C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onstanzacilley@voicesconsultancy.com" TargetMode="External"/><Relationship Id="rId5" Type="http://schemas.openxmlformats.org/officeDocument/2006/relationships/footnotes" Target="footnotes.xml"/><Relationship Id="rId10" Type="http://schemas.openxmlformats.org/officeDocument/2006/relationships/hyperlink" Target="http://www.voicesconsultancy.com/"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3348189243589577"/>
          <c:y val="4.408254195651385E-2"/>
          <c:w val="0.37157034712819537"/>
          <c:h val="0.91183491608697231"/>
        </c:manualLayout>
      </c:layout>
      <c:barChart>
        <c:barDir val="col"/>
        <c:grouping val="percentStacked"/>
        <c:varyColors val="0"/>
        <c:ser>
          <c:idx val="0"/>
          <c:order val="0"/>
          <c:tx>
            <c:strRef>
              <c:f>Sheet1!$B$1</c:f>
              <c:strCache>
                <c:ptCount val="1"/>
                <c:pt idx="0">
                  <c:v>Sí, muchas veces</c:v>
                </c:pt>
              </c:strCache>
            </c:strRef>
          </c:tx>
          <c:spPr>
            <a:solidFill>
              <a:srgbClr val="E5391F"/>
            </a:solidFill>
            <a:effectLst/>
          </c:spPr>
          <c:invertIfNegative val="0"/>
          <c:dLbls>
            <c:numFmt formatCode="0&quot;%&quot;" sourceLinked="0"/>
            <c:spPr>
              <a:noFill/>
              <a:ln>
                <a:noFill/>
              </a:ln>
              <a:effectLst/>
            </c:spPr>
            <c:txPr>
              <a:bodyPr/>
              <a:lstStyle/>
              <a:p>
                <a:pPr>
                  <a:defRPr>
                    <a:solidFill>
                      <a:schemeClr val="bg1"/>
                    </a:solidFill>
                  </a:defRPr>
                </a:pPr>
                <a:endParaRPr lang="es-A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Total</c:v>
                </c:pt>
              </c:strCache>
            </c:strRef>
          </c:cat>
          <c:val>
            <c:numRef>
              <c:f>Sheet1!$B$2</c:f>
              <c:numCache>
                <c:formatCode>0.00</c:formatCode>
                <c:ptCount val="1"/>
                <c:pt idx="0">
                  <c:v>31</c:v>
                </c:pt>
              </c:numCache>
            </c:numRef>
          </c:val>
          <c:extLst>
            <c:ext xmlns:c16="http://schemas.microsoft.com/office/drawing/2014/chart" uri="{C3380CC4-5D6E-409C-BE32-E72D297353CC}">
              <c16:uniqueId val="{00000000-6984-43CE-9FDF-AE2FB168CD82}"/>
            </c:ext>
          </c:extLst>
        </c:ser>
        <c:ser>
          <c:idx val="1"/>
          <c:order val="1"/>
          <c:tx>
            <c:strRef>
              <c:f>Sheet1!$C$1</c:f>
              <c:strCache>
                <c:ptCount val="1"/>
                <c:pt idx="0">
                  <c:v>Sí, algunas veces</c:v>
                </c:pt>
              </c:strCache>
            </c:strRef>
          </c:tx>
          <c:spPr>
            <a:solidFill>
              <a:schemeClr val="accent4"/>
            </a:solidFill>
            <a:effectLst/>
          </c:spPr>
          <c:invertIfNegative val="0"/>
          <c:dLbls>
            <c:numFmt formatCode="0&quot;%&quot;" sourceLinked="0"/>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Total</c:v>
                </c:pt>
              </c:strCache>
            </c:strRef>
          </c:cat>
          <c:val>
            <c:numRef>
              <c:f>Sheet1!$C$2</c:f>
              <c:numCache>
                <c:formatCode>0.00</c:formatCode>
                <c:ptCount val="1"/>
                <c:pt idx="0">
                  <c:v>22</c:v>
                </c:pt>
              </c:numCache>
            </c:numRef>
          </c:val>
          <c:extLst>
            <c:ext xmlns:c16="http://schemas.microsoft.com/office/drawing/2014/chart" uri="{C3380CC4-5D6E-409C-BE32-E72D297353CC}">
              <c16:uniqueId val="{00000001-6984-43CE-9FDF-AE2FB168CD82}"/>
            </c:ext>
          </c:extLst>
        </c:ser>
        <c:ser>
          <c:idx val="2"/>
          <c:order val="2"/>
          <c:tx>
            <c:strRef>
              <c:f>Sheet1!$D$1</c:f>
              <c:strCache>
                <c:ptCount val="1"/>
                <c:pt idx="0">
                  <c:v>Sí, alguna vez</c:v>
                </c:pt>
              </c:strCache>
            </c:strRef>
          </c:tx>
          <c:spPr>
            <a:solidFill>
              <a:schemeClr val="bg2"/>
            </a:solidFill>
            <a:effectLst/>
          </c:spPr>
          <c:invertIfNegative val="0"/>
          <c:dLbls>
            <c:numFmt formatCode="0&quot;%&quot;" sourceLinked="0"/>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Total</c:v>
                </c:pt>
              </c:strCache>
            </c:strRef>
          </c:cat>
          <c:val>
            <c:numRef>
              <c:f>Sheet1!$D$2</c:f>
              <c:numCache>
                <c:formatCode>0.00</c:formatCode>
                <c:ptCount val="1"/>
                <c:pt idx="0">
                  <c:v>18</c:v>
                </c:pt>
              </c:numCache>
            </c:numRef>
          </c:val>
          <c:extLst>
            <c:ext xmlns:c16="http://schemas.microsoft.com/office/drawing/2014/chart" uri="{C3380CC4-5D6E-409C-BE32-E72D297353CC}">
              <c16:uniqueId val="{00000002-6984-43CE-9FDF-AE2FB168CD82}"/>
            </c:ext>
          </c:extLst>
        </c:ser>
        <c:ser>
          <c:idx val="3"/>
          <c:order val="3"/>
          <c:tx>
            <c:strRef>
              <c:f>Sheet1!$E$1</c:f>
              <c:strCache>
                <c:ptCount val="1"/>
                <c:pt idx="0">
                  <c:v>Nunca</c:v>
                </c:pt>
              </c:strCache>
            </c:strRef>
          </c:tx>
          <c:spPr>
            <a:solidFill>
              <a:schemeClr val="accent3"/>
            </a:solidFill>
            <a:effectLst/>
          </c:spPr>
          <c:invertIfNegative val="0"/>
          <c:dLbls>
            <c:numFmt formatCode="0&quot;%&quot;" sourceLinked="0"/>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Total</c:v>
                </c:pt>
              </c:strCache>
            </c:strRef>
          </c:cat>
          <c:val>
            <c:numRef>
              <c:f>Sheet1!$E$2</c:f>
              <c:numCache>
                <c:formatCode>0.00</c:formatCode>
                <c:ptCount val="1"/>
                <c:pt idx="0">
                  <c:v>19</c:v>
                </c:pt>
              </c:numCache>
            </c:numRef>
          </c:val>
          <c:extLst>
            <c:ext xmlns:c16="http://schemas.microsoft.com/office/drawing/2014/chart" uri="{C3380CC4-5D6E-409C-BE32-E72D297353CC}">
              <c16:uniqueId val="{00000003-6984-43CE-9FDF-AE2FB168CD82}"/>
            </c:ext>
          </c:extLst>
        </c:ser>
        <c:ser>
          <c:idx val="4"/>
          <c:order val="4"/>
          <c:tx>
            <c:strRef>
              <c:f>Sheet1!$F$1</c:f>
              <c:strCache>
                <c:ptCount val="1"/>
                <c:pt idx="0">
                  <c:v>No sabe / No recuerda</c:v>
                </c:pt>
              </c:strCache>
            </c:strRef>
          </c:tx>
          <c:spPr>
            <a:solidFill>
              <a:srgbClr val="A8A8A8"/>
            </a:solidFill>
            <a:effectLst/>
          </c:spPr>
          <c:invertIfNegative val="0"/>
          <c:dLbls>
            <c:numFmt formatCode="0&quot;%&quot;" sourceLinked="0"/>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Total</c:v>
                </c:pt>
              </c:strCache>
            </c:strRef>
          </c:cat>
          <c:val>
            <c:numRef>
              <c:f>Sheet1!$F$2</c:f>
              <c:numCache>
                <c:formatCode>0.00</c:formatCode>
                <c:ptCount val="1"/>
                <c:pt idx="0">
                  <c:v>10</c:v>
                </c:pt>
              </c:numCache>
            </c:numRef>
          </c:val>
          <c:extLst>
            <c:ext xmlns:c16="http://schemas.microsoft.com/office/drawing/2014/chart" uri="{C3380CC4-5D6E-409C-BE32-E72D297353CC}">
              <c16:uniqueId val="{00000004-6984-43CE-9FDF-AE2FB168CD82}"/>
            </c:ext>
          </c:extLst>
        </c:ser>
        <c:dLbls>
          <c:dLblPos val="ctr"/>
          <c:showLegendKey val="0"/>
          <c:showVal val="1"/>
          <c:showCatName val="0"/>
          <c:showSerName val="0"/>
          <c:showPercent val="0"/>
          <c:showBubbleSize val="0"/>
        </c:dLbls>
        <c:gapWidth val="40"/>
        <c:overlap val="100"/>
        <c:axId val="2094734554"/>
        <c:axId val="2094734552"/>
      </c:barChart>
      <c:catAx>
        <c:axId val="2094734554"/>
        <c:scaling>
          <c:orientation val="minMax"/>
        </c:scaling>
        <c:delete val="1"/>
        <c:axPos val="b"/>
        <c:numFmt formatCode="General" sourceLinked="1"/>
        <c:majorTickMark val="out"/>
        <c:minorTickMark val="none"/>
        <c:tickLblPos val="nextTo"/>
        <c:crossAx val="2094734552"/>
        <c:crosses val="autoZero"/>
        <c:auto val="1"/>
        <c:lblAlgn val="ctr"/>
        <c:lblOffset val="100"/>
        <c:noMultiLvlLbl val="1"/>
      </c:catAx>
      <c:valAx>
        <c:axId val="2094734552"/>
        <c:scaling>
          <c:orientation val="minMax"/>
        </c:scaling>
        <c:delete val="1"/>
        <c:axPos val="l"/>
        <c:numFmt formatCode="0%" sourceLinked="0"/>
        <c:majorTickMark val="out"/>
        <c:minorTickMark val="none"/>
        <c:tickLblPos val="low"/>
        <c:crossAx val="2094734554"/>
        <c:crosses val="autoZero"/>
        <c:crossBetween val="between"/>
      </c:valAx>
      <c:spPr>
        <a:noFill/>
        <a:ln>
          <a:noFill/>
        </a:ln>
        <a:effectLst/>
      </c:spPr>
    </c:plotArea>
    <c:legend>
      <c:legendPos val="l"/>
      <c:overlay val="0"/>
    </c:legend>
    <c:plotVisOnly val="1"/>
    <c:dispBlanksAs val="span"/>
    <c:showDLblsOverMax val="1"/>
  </c:chart>
  <c:spPr>
    <a:solidFill>
      <a:srgbClr val="FFFFFF"/>
    </a:solidFill>
    <a:ln>
      <a:noFill/>
    </a:ln>
    <a:effectLst/>
  </c:spPr>
  <c:txPr>
    <a:bodyPr/>
    <a:lstStyle/>
    <a:p>
      <a:pPr>
        <a:defRPr>
          <a:latin typeface="Calibri" panose="020F0502020204030204" pitchFamily="34" charset="0"/>
          <a:cs typeface="Calibri" panose="020F0502020204030204" pitchFamily="34" charset="0"/>
        </a:defRPr>
      </a:pPr>
      <a:endParaRPr lang="es-A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Sí</c:v>
                </c:pt>
              </c:strCache>
            </c:strRef>
          </c:tx>
          <c:spPr>
            <a:solidFill>
              <a:srgbClr val="92D050"/>
            </a:solidFill>
            <a:effectLst/>
          </c:spPr>
          <c:invertIfNegative val="0"/>
          <c:dLbls>
            <c:numFmt formatCode="0&quot;%&quot;" sourceLinked="0"/>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9"/>
                <c:pt idx="0">
                  <c:v>Conversaciones con IA</c:v>
                </c:pt>
                <c:pt idx="1">
                  <c:v>Ubicación</c:v>
                </c:pt>
                <c:pt idx="2">
                  <c:v>Búsquedas / navegación</c:v>
                </c:pt>
                <c:pt idx="3">
                  <c:v>Actividad en redes sociales</c:v>
                </c:pt>
                <c:pt idx="4">
                  <c:v>Historial de compras</c:v>
                </c:pt>
                <c:pt idx="5">
                  <c:v>Composición del hogar</c:v>
                </c:pt>
                <c:pt idx="6">
                  <c:v>Salud o bienestar</c:v>
                </c:pt>
                <c:pt idx="7">
                  <c:v>Sus gustos e intereses</c:v>
                </c:pt>
                <c:pt idx="8">
                  <c:v>Su edad</c:v>
                </c:pt>
              </c:strCache>
            </c:strRef>
          </c:cat>
          <c:val>
            <c:numRef>
              <c:f>Sheet1!$B$2:$B$10</c:f>
              <c:numCache>
                <c:formatCode>General</c:formatCode>
                <c:ptCount val="9"/>
                <c:pt idx="0">
                  <c:v>12</c:v>
                </c:pt>
                <c:pt idx="1">
                  <c:v>16</c:v>
                </c:pt>
                <c:pt idx="2">
                  <c:v>18</c:v>
                </c:pt>
                <c:pt idx="3">
                  <c:v>18</c:v>
                </c:pt>
                <c:pt idx="4">
                  <c:v>18</c:v>
                </c:pt>
                <c:pt idx="5">
                  <c:v>20</c:v>
                </c:pt>
                <c:pt idx="6">
                  <c:v>25</c:v>
                </c:pt>
                <c:pt idx="7">
                  <c:v>30</c:v>
                </c:pt>
                <c:pt idx="8">
                  <c:v>38</c:v>
                </c:pt>
              </c:numCache>
            </c:numRef>
          </c:val>
          <c:extLst>
            <c:ext xmlns:c16="http://schemas.microsoft.com/office/drawing/2014/chart" uri="{C3380CC4-5D6E-409C-BE32-E72D297353CC}">
              <c16:uniqueId val="{00000000-C597-4DFC-80D3-BB7DF3FAA7FB}"/>
            </c:ext>
          </c:extLst>
        </c:ser>
        <c:ser>
          <c:idx val="1"/>
          <c:order val="1"/>
          <c:tx>
            <c:strRef>
              <c:f>Sheet1!$C$1</c:f>
              <c:strCache>
                <c:ptCount val="1"/>
                <c:pt idx="0">
                  <c:v>No</c:v>
                </c:pt>
              </c:strCache>
            </c:strRef>
          </c:tx>
          <c:spPr>
            <a:solidFill>
              <a:srgbClr val="E5391F"/>
            </a:solidFill>
            <a:effectLst/>
          </c:spPr>
          <c:invertIfNegative val="0"/>
          <c:dLbls>
            <c:numFmt formatCode="0&quot;%&quot;" sourceLinked="0"/>
            <c:spPr>
              <a:noFill/>
              <a:ln>
                <a:noFill/>
              </a:ln>
              <a:effectLst/>
            </c:spPr>
            <c:txPr>
              <a:bodyPr/>
              <a:lstStyle/>
              <a:p>
                <a:pPr>
                  <a:defRPr>
                    <a:solidFill>
                      <a:schemeClr val="bg1"/>
                    </a:solidFill>
                  </a:defRPr>
                </a:pPr>
                <a:endParaRPr lang="es-A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9"/>
                <c:pt idx="0">
                  <c:v>Conversaciones con IA</c:v>
                </c:pt>
                <c:pt idx="1">
                  <c:v>Ubicación</c:v>
                </c:pt>
                <c:pt idx="2">
                  <c:v>Búsquedas / navegación</c:v>
                </c:pt>
                <c:pt idx="3">
                  <c:v>Actividad en redes sociales</c:v>
                </c:pt>
                <c:pt idx="4">
                  <c:v>Historial de compras</c:v>
                </c:pt>
                <c:pt idx="5">
                  <c:v>Composición del hogar</c:v>
                </c:pt>
                <c:pt idx="6">
                  <c:v>Salud o bienestar</c:v>
                </c:pt>
                <c:pt idx="7">
                  <c:v>Sus gustos e intereses</c:v>
                </c:pt>
                <c:pt idx="8">
                  <c:v>Su edad</c:v>
                </c:pt>
              </c:strCache>
            </c:strRef>
          </c:cat>
          <c:val>
            <c:numRef>
              <c:f>Sheet1!$C$2:$C$10</c:f>
              <c:numCache>
                <c:formatCode>General</c:formatCode>
                <c:ptCount val="9"/>
                <c:pt idx="0">
                  <c:v>57</c:v>
                </c:pt>
                <c:pt idx="1">
                  <c:v>53</c:v>
                </c:pt>
                <c:pt idx="2">
                  <c:v>50</c:v>
                </c:pt>
                <c:pt idx="3">
                  <c:v>51</c:v>
                </c:pt>
                <c:pt idx="4">
                  <c:v>45</c:v>
                </c:pt>
                <c:pt idx="5">
                  <c:v>50</c:v>
                </c:pt>
                <c:pt idx="6">
                  <c:v>43</c:v>
                </c:pt>
                <c:pt idx="7">
                  <c:v>34</c:v>
                </c:pt>
                <c:pt idx="8">
                  <c:v>31</c:v>
                </c:pt>
              </c:numCache>
            </c:numRef>
          </c:val>
          <c:extLst>
            <c:ext xmlns:c16="http://schemas.microsoft.com/office/drawing/2014/chart" uri="{C3380CC4-5D6E-409C-BE32-E72D297353CC}">
              <c16:uniqueId val="{00000001-C597-4DFC-80D3-BB7DF3FAA7FB}"/>
            </c:ext>
          </c:extLst>
        </c:ser>
        <c:ser>
          <c:idx val="2"/>
          <c:order val="2"/>
          <c:tx>
            <c:strRef>
              <c:f>Sheet1!$D$1</c:f>
              <c:strCache>
                <c:ptCount val="1"/>
                <c:pt idx="0">
                  <c:v>Depende del beneficio</c:v>
                </c:pt>
              </c:strCache>
            </c:strRef>
          </c:tx>
          <c:spPr>
            <a:solidFill>
              <a:srgbClr val="F9EF28"/>
            </a:solidFill>
            <a:effectLst/>
          </c:spPr>
          <c:invertIfNegative val="0"/>
          <c:dLbls>
            <c:numFmt formatCode="0&quot;%&quot;" sourceLinked="0"/>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9"/>
                <c:pt idx="0">
                  <c:v>Conversaciones con IA</c:v>
                </c:pt>
                <c:pt idx="1">
                  <c:v>Ubicación</c:v>
                </c:pt>
                <c:pt idx="2">
                  <c:v>Búsquedas / navegación</c:v>
                </c:pt>
                <c:pt idx="3">
                  <c:v>Actividad en redes sociales</c:v>
                </c:pt>
                <c:pt idx="4">
                  <c:v>Historial de compras</c:v>
                </c:pt>
                <c:pt idx="5">
                  <c:v>Composición del hogar</c:v>
                </c:pt>
                <c:pt idx="6">
                  <c:v>Salud o bienestar</c:v>
                </c:pt>
                <c:pt idx="7">
                  <c:v>Sus gustos e intereses</c:v>
                </c:pt>
                <c:pt idx="8">
                  <c:v>Su edad</c:v>
                </c:pt>
              </c:strCache>
            </c:strRef>
          </c:cat>
          <c:val>
            <c:numRef>
              <c:f>Sheet1!$D$2:$D$10</c:f>
              <c:numCache>
                <c:formatCode>General</c:formatCode>
                <c:ptCount val="9"/>
                <c:pt idx="0">
                  <c:v>23</c:v>
                </c:pt>
                <c:pt idx="1">
                  <c:v>22</c:v>
                </c:pt>
                <c:pt idx="2">
                  <c:v>25</c:v>
                </c:pt>
                <c:pt idx="3">
                  <c:v>23</c:v>
                </c:pt>
                <c:pt idx="4">
                  <c:v>29</c:v>
                </c:pt>
                <c:pt idx="5">
                  <c:v>24</c:v>
                </c:pt>
                <c:pt idx="6">
                  <c:v>25</c:v>
                </c:pt>
                <c:pt idx="7">
                  <c:v>27</c:v>
                </c:pt>
                <c:pt idx="8">
                  <c:v>23</c:v>
                </c:pt>
              </c:numCache>
            </c:numRef>
          </c:val>
          <c:extLst>
            <c:ext xmlns:c16="http://schemas.microsoft.com/office/drawing/2014/chart" uri="{C3380CC4-5D6E-409C-BE32-E72D297353CC}">
              <c16:uniqueId val="{00000002-C597-4DFC-80D3-BB7DF3FAA7FB}"/>
            </c:ext>
          </c:extLst>
        </c:ser>
        <c:ser>
          <c:idx val="3"/>
          <c:order val="3"/>
          <c:tx>
            <c:strRef>
              <c:f>Sheet1!$E$1</c:f>
              <c:strCache>
                <c:ptCount val="1"/>
                <c:pt idx="0">
                  <c:v>No sabe</c:v>
                </c:pt>
              </c:strCache>
            </c:strRef>
          </c:tx>
          <c:spPr>
            <a:solidFill>
              <a:srgbClr val="A8A8A8"/>
            </a:solidFill>
            <a:effectLst/>
          </c:spPr>
          <c:invertIfNegative val="0"/>
          <c:dLbls>
            <c:numFmt formatCode="0&quot;%&quot;" sourceLinked="0"/>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9"/>
                <c:pt idx="0">
                  <c:v>Conversaciones con IA</c:v>
                </c:pt>
                <c:pt idx="1">
                  <c:v>Ubicación</c:v>
                </c:pt>
                <c:pt idx="2">
                  <c:v>Búsquedas / navegación</c:v>
                </c:pt>
                <c:pt idx="3">
                  <c:v>Actividad en redes sociales</c:v>
                </c:pt>
                <c:pt idx="4">
                  <c:v>Historial de compras</c:v>
                </c:pt>
                <c:pt idx="5">
                  <c:v>Composición del hogar</c:v>
                </c:pt>
                <c:pt idx="6">
                  <c:v>Salud o bienestar</c:v>
                </c:pt>
                <c:pt idx="7">
                  <c:v>Sus gustos e intereses</c:v>
                </c:pt>
                <c:pt idx="8">
                  <c:v>Su edad</c:v>
                </c:pt>
              </c:strCache>
            </c:strRef>
          </c:cat>
          <c:val>
            <c:numRef>
              <c:f>Sheet1!$E$2:$E$10</c:f>
              <c:numCache>
                <c:formatCode>General</c:formatCode>
                <c:ptCount val="9"/>
                <c:pt idx="0">
                  <c:v>8</c:v>
                </c:pt>
                <c:pt idx="1">
                  <c:v>10</c:v>
                </c:pt>
                <c:pt idx="2">
                  <c:v>8</c:v>
                </c:pt>
                <c:pt idx="3">
                  <c:v>8</c:v>
                </c:pt>
                <c:pt idx="4">
                  <c:v>8</c:v>
                </c:pt>
                <c:pt idx="5">
                  <c:v>6</c:v>
                </c:pt>
                <c:pt idx="6">
                  <c:v>8</c:v>
                </c:pt>
                <c:pt idx="7">
                  <c:v>10</c:v>
                </c:pt>
                <c:pt idx="8">
                  <c:v>7</c:v>
                </c:pt>
              </c:numCache>
            </c:numRef>
          </c:val>
          <c:extLst>
            <c:ext xmlns:c16="http://schemas.microsoft.com/office/drawing/2014/chart" uri="{C3380CC4-5D6E-409C-BE32-E72D297353CC}">
              <c16:uniqueId val="{00000003-C597-4DFC-80D3-BB7DF3FAA7FB}"/>
            </c:ext>
          </c:extLst>
        </c:ser>
        <c:dLbls>
          <c:dLblPos val="ctr"/>
          <c:showLegendKey val="0"/>
          <c:showVal val="1"/>
          <c:showCatName val="0"/>
          <c:showSerName val="0"/>
          <c:showPercent val="0"/>
          <c:showBubbleSize val="0"/>
        </c:dLbls>
        <c:gapWidth val="30"/>
        <c:overlap val="100"/>
        <c:axId val="2094734554"/>
        <c:axId val="2094734552"/>
      </c:barChart>
      <c:catAx>
        <c:axId val="2094734554"/>
        <c:scaling>
          <c:orientation val="minMax"/>
        </c:scaling>
        <c:delete val="0"/>
        <c:axPos val="l"/>
        <c:numFmt formatCode="General" sourceLinked="1"/>
        <c:majorTickMark val="out"/>
        <c:minorTickMark val="none"/>
        <c:tickLblPos val="nextTo"/>
        <c:spPr>
          <a:ln w="12700" cap="flat">
            <a:solidFill>
              <a:srgbClr val="888888"/>
            </a:solidFill>
            <a:prstDash val="solid"/>
            <a:round/>
          </a:ln>
        </c:spPr>
        <c:crossAx val="2094734552"/>
        <c:crosses val="autoZero"/>
        <c:auto val="1"/>
        <c:lblAlgn val="ctr"/>
        <c:lblOffset val="100"/>
        <c:noMultiLvlLbl val="1"/>
      </c:catAx>
      <c:valAx>
        <c:axId val="2094734552"/>
        <c:scaling>
          <c:orientation val="minMax"/>
        </c:scaling>
        <c:delete val="1"/>
        <c:axPos val="b"/>
        <c:numFmt formatCode="General" sourceLinked="0"/>
        <c:majorTickMark val="out"/>
        <c:minorTickMark val="none"/>
        <c:tickLblPos val="low"/>
        <c:crossAx val="2094734554"/>
        <c:crosses val="autoZero"/>
        <c:crossBetween val="between"/>
      </c:valAx>
      <c:spPr>
        <a:noFill/>
        <a:ln>
          <a:noFill/>
        </a:ln>
        <a:effectLst/>
      </c:spPr>
    </c:plotArea>
    <c:legend>
      <c:legendPos val="t"/>
      <c:layout>
        <c:manualLayout>
          <c:xMode val="edge"/>
          <c:yMode val="edge"/>
          <c:x val="0.10082980313004838"/>
          <c:y val="1.1147436979734257E-3"/>
          <c:w val="0.79099491103105402"/>
          <c:h val="6.0280394127077676E-2"/>
        </c:manualLayout>
      </c:layout>
      <c:overlay val="0"/>
    </c:legend>
    <c:plotVisOnly val="1"/>
    <c:dispBlanksAs val="span"/>
    <c:showDLblsOverMax val="1"/>
  </c:chart>
  <c:spPr>
    <a:noFill/>
    <a:ln>
      <a:noFill/>
    </a:ln>
    <a:effectLst/>
  </c:spPr>
  <c:txPr>
    <a:bodyPr/>
    <a:lstStyle/>
    <a:p>
      <a:pPr>
        <a:defRPr sz="1000">
          <a:latin typeface="Calibri" panose="020F0502020204030204" pitchFamily="34" charset="0"/>
          <a:cs typeface="Calibri" panose="020F0502020204030204" pitchFamily="34" charset="0"/>
        </a:defRPr>
      </a:pPr>
      <a:endParaRPr lang="es-A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Sheet1!$B$1</c:f>
              <c:strCache>
                <c:ptCount val="1"/>
                <c:pt idx="0">
                  <c:v>Confiaría mucho más</c:v>
                </c:pt>
              </c:strCache>
            </c:strRef>
          </c:tx>
          <c:spPr>
            <a:solidFill>
              <a:srgbClr val="8C9A1E"/>
            </a:solidFill>
            <a:effectLst/>
          </c:spPr>
          <c:invertIfNegative val="0"/>
          <c:dLbls>
            <c:numFmt formatCode="0&quot;%&quot;" sourceLinked="0"/>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Sheet1!$A$2:$A$2</c:f>
              <c:strCache>
                <c:ptCount val="1"/>
                <c:pt idx="0">
                  <c:v>Total</c:v>
                </c:pt>
              </c:strCache>
            </c:strRef>
          </c:cat>
          <c:val>
            <c:numRef>
              <c:f>Sheet1!$B$2:$B$2</c:f>
              <c:numCache>
                <c:formatCode>General</c:formatCode>
                <c:ptCount val="1"/>
                <c:pt idx="0">
                  <c:v>19</c:v>
                </c:pt>
              </c:numCache>
            </c:numRef>
          </c:val>
          <c:extLst>
            <c:ext xmlns:c16="http://schemas.microsoft.com/office/drawing/2014/chart" uri="{C3380CC4-5D6E-409C-BE32-E72D297353CC}">
              <c16:uniqueId val="{00000000-3288-4D40-A6A2-EB555E7FE4BA}"/>
            </c:ext>
          </c:extLst>
        </c:ser>
        <c:ser>
          <c:idx val="1"/>
          <c:order val="1"/>
          <c:tx>
            <c:strRef>
              <c:f>Sheet1!$C$1</c:f>
              <c:strCache>
                <c:ptCount val="1"/>
                <c:pt idx="0">
                  <c:v>Confiaría algo más</c:v>
                </c:pt>
              </c:strCache>
            </c:strRef>
          </c:tx>
          <c:spPr>
            <a:solidFill>
              <a:srgbClr val="D2D820"/>
            </a:solidFill>
            <a:effectLst/>
          </c:spPr>
          <c:invertIfNegative val="0"/>
          <c:dLbls>
            <c:numFmt formatCode="0&quot;%&quot;" sourceLinked="0"/>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Sheet1!$A$2:$A$2</c:f>
              <c:strCache>
                <c:ptCount val="1"/>
                <c:pt idx="0">
                  <c:v>Total</c:v>
                </c:pt>
              </c:strCache>
            </c:strRef>
          </c:cat>
          <c:val>
            <c:numRef>
              <c:f>Sheet1!$C$2:$C$2</c:f>
              <c:numCache>
                <c:formatCode>General</c:formatCode>
                <c:ptCount val="1"/>
                <c:pt idx="0">
                  <c:v>25</c:v>
                </c:pt>
              </c:numCache>
            </c:numRef>
          </c:val>
          <c:extLst>
            <c:ext xmlns:c16="http://schemas.microsoft.com/office/drawing/2014/chart" uri="{C3380CC4-5D6E-409C-BE32-E72D297353CC}">
              <c16:uniqueId val="{00000001-3288-4D40-A6A2-EB555E7FE4BA}"/>
            </c:ext>
          </c:extLst>
        </c:ser>
        <c:ser>
          <c:idx val="2"/>
          <c:order val="2"/>
          <c:tx>
            <c:strRef>
              <c:f>Sheet1!$D$1</c:f>
              <c:strCache>
                <c:ptCount val="1"/>
                <c:pt idx="0">
                  <c:v>Confiaría igual</c:v>
                </c:pt>
              </c:strCache>
            </c:strRef>
          </c:tx>
          <c:spPr>
            <a:solidFill>
              <a:srgbClr val="F9EF28"/>
            </a:solidFill>
            <a:effectLst/>
          </c:spPr>
          <c:invertIfNegative val="0"/>
          <c:dLbls>
            <c:numFmt formatCode="0&quot;%&quot;" sourceLinked="0"/>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Sheet1!$A$2:$A$2</c:f>
              <c:strCache>
                <c:ptCount val="1"/>
                <c:pt idx="0">
                  <c:v>Total</c:v>
                </c:pt>
              </c:strCache>
            </c:strRef>
          </c:cat>
          <c:val>
            <c:numRef>
              <c:f>Sheet1!$D$2:$D$2</c:f>
              <c:numCache>
                <c:formatCode>General</c:formatCode>
                <c:ptCount val="1"/>
                <c:pt idx="0">
                  <c:v>18</c:v>
                </c:pt>
              </c:numCache>
            </c:numRef>
          </c:val>
          <c:extLst>
            <c:ext xmlns:c16="http://schemas.microsoft.com/office/drawing/2014/chart" uri="{C3380CC4-5D6E-409C-BE32-E72D297353CC}">
              <c16:uniqueId val="{00000002-3288-4D40-A6A2-EB555E7FE4BA}"/>
            </c:ext>
          </c:extLst>
        </c:ser>
        <c:ser>
          <c:idx val="3"/>
          <c:order val="3"/>
          <c:tx>
            <c:strRef>
              <c:f>Sheet1!$E$1</c:f>
              <c:strCache>
                <c:ptCount val="1"/>
                <c:pt idx="0">
                  <c:v>Confiaría menos</c:v>
                </c:pt>
              </c:strCache>
            </c:strRef>
          </c:tx>
          <c:spPr>
            <a:solidFill>
              <a:srgbClr val="E5391F"/>
            </a:solidFill>
            <a:effectLst/>
          </c:spPr>
          <c:invertIfNegative val="0"/>
          <c:dLbls>
            <c:numFmt formatCode="0&quot;%&quot;" sourceLinked="0"/>
            <c:spPr>
              <a:noFill/>
              <a:ln>
                <a:noFill/>
              </a:ln>
              <a:effectLst/>
            </c:spPr>
            <c:txPr>
              <a:bodyPr/>
              <a:lstStyle/>
              <a:p>
                <a:pPr>
                  <a:defRPr>
                    <a:solidFill>
                      <a:schemeClr val="bg1"/>
                    </a:solidFill>
                  </a:defRPr>
                </a:pPr>
                <a:endParaRPr lang="es-A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Sheet1!$A$2:$A$2</c:f>
              <c:strCache>
                <c:ptCount val="1"/>
                <c:pt idx="0">
                  <c:v>Total</c:v>
                </c:pt>
              </c:strCache>
            </c:strRef>
          </c:cat>
          <c:val>
            <c:numRef>
              <c:f>Sheet1!$E$2:$E$2</c:f>
              <c:numCache>
                <c:formatCode>General</c:formatCode>
                <c:ptCount val="1"/>
                <c:pt idx="0">
                  <c:v>20</c:v>
                </c:pt>
              </c:numCache>
            </c:numRef>
          </c:val>
          <c:extLst>
            <c:ext xmlns:c16="http://schemas.microsoft.com/office/drawing/2014/chart" uri="{C3380CC4-5D6E-409C-BE32-E72D297353CC}">
              <c16:uniqueId val="{00000003-3288-4D40-A6A2-EB555E7FE4BA}"/>
            </c:ext>
          </c:extLst>
        </c:ser>
        <c:ser>
          <c:idx val="4"/>
          <c:order val="4"/>
          <c:tx>
            <c:strRef>
              <c:f>Sheet1!$F$1</c:f>
              <c:strCache>
                <c:ptCount val="1"/>
                <c:pt idx="0">
                  <c:v>No sabe</c:v>
                </c:pt>
              </c:strCache>
            </c:strRef>
          </c:tx>
          <c:spPr>
            <a:solidFill>
              <a:srgbClr val="A8A8A8"/>
            </a:solidFill>
            <a:effectLst/>
          </c:spPr>
          <c:invertIfNegative val="0"/>
          <c:dLbls>
            <c:numFmt formatCode="0&quot;%&quot;" sourceLinked="0"/>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Sheet1!$A$2:$A$2</c:f>
              <c:strCache>
                <c:ptCount val="1"/>
                <c:pt idx="0">
                  <c:v>Total</c:v>
                </c:pt>
              </c:strCache>
            </c:strRef>
          </c:cat>
          <c:val>
            <c:numRef>
              <c:f>Sheet1!$F$2:$F$2</c:f>
              <c:numCache>
                <c:formatCode>General</c:formatCode>
                <c:ptCount val="1"/>
                <c:pt idx="0">
                  <c:v>18</c:v>
                </c:pt>
              </c:numCache>
            </c:numRef>
          </c:val>
          <c:extLst>
            <c:ext xmlns:c16="http://schemas.microsoft.com/office/drawing/2014/chart" uri="{C3380CC4-5D6E-409C-BE32-E72D297353CC}">
              <c16:uniqueId val="{00000004-3288-4D40-A6A2-EB555E7FE4BA}"/>
            </c:ext>
          </c:extLst>
        </c:ser>
        <c:dLbls>
          <c:dLblPos val="ctr"/>
          <c:showLegendKey val="0"/>
          <c:showVal val="1"/>
          <c:showCatName val="0"/>
          <c:showSerName val="0"/>
          <c:showPercent val="0"/>
          <c:showBubbleSize val="0"/>
        </c:dLbls>
        <c:gapWidth val="40"/>
        <c:overlap val="100"/>
        <c:axId val="2094734554"/>
        <c:axId val="2094734552"/>
      </c:barChart>
      <c:catAx>
        <c:axId val="2094734554"/>
        <c:scaling>
          <c:orientation val="minMax"/>
        </c:scaling>
        <c:delete val="1"/>
        <c:axPos val="b"/>
        <c:numFmt formatCode="General" sourceLinked="1"/>
        <c:majorTickMark val="out"/>
        <c:minorTickMark val="none"/>
        <c:tickLblPos val="nextTo"/>
        <c:crossAx val="2094734552"/>
        <c:crosses val="autoZero"/>
        <c:auto val="1"/>
        <c:lblAlgn val="ctr"/>
        <c:lblOffset val="100"/>
        <c:noMultiLvlLbl val="1"/>
      </c:catAx>
      <c:valAx>
        <c:axId val="2094734552"/>
        <c:scaling>
          <c:orientation val="minMax"/>
        </c:scaling>
        <c:delete val="1"/>
        <c:axPos val="l"/>
        <c:numFmt formatCode="General" sourceLinked="0"/>
        <c:majorTickMark val="out"/>
        <c:minorTickMark val="none"/>
        <c:tickLblPos val="low"/>
        <c:crossAx val="2094734554"/>
        <c:crosses val="autoZero"/>
        <c:crossBetween val="between"/>
      </c:valAx>
      <c:spPr>
        <a:noFill/>
        <a:ln>
          <a:noFill/>
        </a:ln>
        <a:effectLst/>
      </c:spPr>
    </c:plotArea>
    <c:legend>
      <c:legendPos val="l"/>
      <c:overlay val="0"/>
    </c:legend>
    <c:plotVisOnly val="1"/>
    <c:dispBlanksAs val="span"/>
    <c:showDLblsOverMax val="1"/>
  </c:chart>
  <c:spPr>
    <a:noFill/>
    <a:ln>
      <a:noFill/>
    </a:ln>
    <a:effectLst/>
  </c:spPr>
  <c:txPr>
    <a:bodyPr/>
    <a:lstStyle/>
    <a:p>
      <a:pPr>
        <a:defRPr sz="1000">
          <a:latin typeface="Calibri" panose="020F0502020204030204" pitchFamily="34" charset="0"/>
          <a:cs typeface="Calibri" panose="020F0502020204030204" pitchFamily="34" charset="0"/>
        </a:defRPr>
      </a:pPr>
      <a:endParaRPr lang="es-AR"/>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VOICES">
    <a:dk1>
      <a:sysClr val="windowText" lastClr="000000"/>
    </a:dk1>
    <a:lt1>
      <a:sysClr val="window" lastClr="FFFFFF"/>
    </a:lt1>
    <a:dk2>
      <a:srgbClr val="FFF334"/>
    </a:dk2>
    <a:lt2>
      <a:srgbClr val="F7941E"/>
    </a:lt2>
    <a:accent1>
      <a:srgbClr val="EF4130"/>
    </a:accent1>
    <a:accent2>
      <a:srgbClr val="33A3DC"/>
    </a:accent2>
    <a:accent3>
      <a:srgbClr val="D7DF23"/>
    </a:accent3>
    <a:accent4>
      <a:srgbClr val="E0861A"/>
    </a:accent4>
    <a:accent5>
      <a:srgbClr val="D71920"/>
    </a:accent5>
    <a:accent6>
      <a:srgbClr val="312A4B"/>
    </a:accent6>
    <a:hlink>
      <a:srgbClr val="1B1130"/>
    </a:hlink>
    <a:folHlink>
      <a:srgbClr val="800080"/>
    </a:folHlink>
  </a:clrScheme>
  <a:fontScheme name="Personalizado 2">
    <a:majorFont>
      <a:latin typeface="Impact"/>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F90D3-E84A-4779-8B97-059C9078F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1263</Words>
  <Characters>6950</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Kantt</dc:creator>
  <cp:keywords/>
  <dc:description/>
  <cp:lastModifiedBy>Juana Haines</cp:lastModifiedBy>
  <cp:revision>2</cp:revision>
  <dcterms:created xsi:type="dcterms:W3CDTF">2026-09-24T13:10:00Z</dcterms:created>
  <dcterms:modified xsi:type="dcterms:W3CDTF">2026-09-24T13:10:00Z</dcterms:modified>
</cp:coreProperties>
</file>