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B4244" w:rsidRDefault="005B4244">
      <w:pPr>
        <w:spacing w:after="160"/>
        <w:jc w:val="center"/>
        <w:rPr>
          <w:rFonts w:ascii="Calibri" w:eastAsia="Calibri" w:hAnsi="Calibri" w:cs="Calibri"/>
          <w:b/>
          <w:bCs/>
          <w:sz w:val="28"/>
          <w:szCs w:val="28"/>
        </w:rPr>
      </w:pPr>
    </w:p>
    <w:p w14:paraId="00000002" w14:textId="77777777" w:rsidR="005B4244" w:rsidRPr="00E57AC5" w:rsidRDefault="00000000">
      <w:pPr>
        <w:spacing w:after="160"/>
        <w:jc w:val="center"/>
        <w:rPr>
          <w:rFonts w:ascii="Calibri" w:eastAsia="Calibri" w:hAnsi="Calibri" w:cs="Calibri"/>
          <w:b/>
          <w:bCs/>
          <w:color w:val="00B050"/>
          <w:sz w:val="28"/>
          <w:szCs w:val="28"/>
        </w:rPr>
      </w:pPr>
      <w:r w:rsidRPr="00E57AC5">
        <w:rPr>
          <w:rFonts w:ascii="Calibri" w:eastAsia="Calibri" w:hAnsi="Calibri" w:cs="Calibri"/>
          <w:b/>
          <w:bCs/>
          <w:color w:val="00B050"/>
          <w:sz w:val="28"/>
          <w:szCs w:val="28"/>
        </w:rPr>
        <w:t>10 de octubre | Día Mundial de la Salud Mental</w:t>
      </w:r>
    </w:p>
    <w:p w14:paraId="00000003" w14:textId="77777777" w:rsidR="005B4244" w:rsidRDefault="005B4244" w:rsidP="007D64CA">
      <w:pPr>
        <w:jc w:val="center"/>
        <w:rPr>
          <w:rFonts w:ascii="Calibri" w:eastAsia="Calibri" w:hAnsi="Calibri" w:cs="Calibri"/>
          <w:b/>
          <w:bCs/>
          <w:sz w:val="36"/>
          <w:szCs w:val="36"/>
        </w:rPr>
      </w:pPr>
    </w:p>
    <w:p w14:paraId="351914BF" w14:textId="6F470F9E" w:rsidR="007D64CA" w:rsidRDefault="007D64CA" w:rsidP="007D64CA">
      <w:pPr>
        <w:jc w:val="center"/>
        <w:rPr>
          <w:rFonts w:ascii="Calibri" w:eastAsia="Calibri" w:hAnsi="Calibri" w:cs="Calibri"/>
          <w:b/>
          <w:bCs/>
          <w:sz w:val="40"/>
          <w:szCs w:val="40"/>
        </w:rPr>
      </w:pPr>
      <w:r>
        <w:rPr>
          <w:rFonts w:ascii="Calibri" w:eastAsia="Calibri" w:hAnsi="Calibri" w:cs="Calibri"/>
          <w:b/>
          <w:bCs/>
          <w:sz w:val="40"/>
          <w:szCs w:val="40"/>
        </w:rPr>
        <w:t>La mitad de los</w:t>
      </w:r>
      <w:r w:rsidRPr="007D64CA">
        <w:rPr>
          <w:rFonts w:ascii="Calibri" w:eastAsia="Calibri" w:hAnsi="Calibri" w:cs="Calibri"/>
          <w:b/>
          <w:bCs/>
          <w:sz w:val="40"/>
          <w:szCs w:val="40"/>
        </w:rPr>
        <w:t xml:space="preserve"> argentinos vive</w:t>
      </w:r>
      <w:r>
        <w:rPr>
          <w:rFonts w:ascii="Calibri" w:eastAsia="Calibri" w:hAnsi="Calibri" w:cs="Calibri"/>
          <w:b/>
          <w:bCs/>
          <w:sz w:val="40"/>
          <w:szCs w:val="40"/>
        </w:rPr>
        <w:t xml:space="preserve">n estresados/as </w:t>
      </w:r>
      <w:r w:rsidRPr="007D64CA">
        <w:rPr>
          <w:rFonts w:ascii="Calibri" w:eastAsia="Calibri" w:hAnsi="Calibri" w:cs="Calibri"/>
          <w:b/>
          <w:bCs/>
          <w:sz w:val="40"/>
          <w:szCs w:val="40"/>
        </w:rPr>
        <w:t xml:space="preserve">con frecuencia, </w:t>
      </w:r>
      <w:r>
        <w:rPr>
          <w:rFonts w:ascii="Calibri" w:eastAsia="Calibri" w:hAnsi="Calibri" w:cs="Calibri"/>
          <w:b/>
          <w:bCs/>
          <w:sz w:val="40"/>
          <w:szCs w:val="40"/>
        </w:rPr>
        <w:t>especialmente las</w:t>
      </w:r>
      <w:r w:rsidRPr="007D64CA">
        <w:rPr>
          <w:rFonts w:ascii="Calibri" w:eastAsia="Calibri" w:hAnsi="Calibri" w:cs="Calibri"/>
          <w:b/>
          <w:bCs/>
          <w:sz w:val="40"/>
          <w:szCs w:val="40"/>
        </w:rPr>
        <w:t xml:space="preserve"> mujeres y jóvenes. </w:t>
      </w:r>
    </w:p>
    <w:p w14:paraId="0FB6C5B4" w14:textId="77777777" w:rsidR="00253E82" w:rsidRDefault="00253E82">
      <w:pPr>
        <w:spacing w:after="160"/>
        <w:jc w:val="both"/>
        <w:rPr>
          <w:rFonts w:ascii="Calibri" w:eastAsia="Calibri" w:hAnsi="Calibri" w:cs="Calibri"/>
          <w:sz w:val="36"/>
          <w:szCs w:val="36"/>
        </w:rPr>
      </w:pPr>
    </w:p>
    <w:p w14:paraId="00000007" w14:textId="71CB48E1" w:rsidR="005B4244" w:rsidRDefault="00000000">
      <w:pPr>
        <w:spacing w:after="160"/>
        <w:jc w:val="both"/>
        <w:rPr>
          <w:rFonts w:ascii="Calibri" w:eastAsia="Calibri" w:hAnsi="Calibri" w:cs="Calibri"/>
          <w:i/>
          <w:iCs/>
        </w:rPr>
      </w:pPr>
      <w:r>
        <w:rPr>
          <w:rFonts w:ascii="Calibri" w:eastAsia="Calibri" w:hAnsi="Calibri" w:cs="Calibri"/>
          <w:i/>
          <w:iCs/>
        </w:rPr>
        <w:t>10 de octubre de 2026</w:t>
      </w:r>
    </w:p>
    <w:p w14:paraId="00000008" w14:textId="77777777" w:rsidR="005B4244" w:rsidRDefault="00000000">
      <w:pPr>
        <w:spacing w:after="160"/>
        <w:jc w:val="both"/>
        <w:rPr>
          <w:rFonts w:ascii="Calibri" w:eastAsia="Calibri" w:hAnsi="Calibri" w:cs="Calibri"/>
        </w:rPr>
      </w:pPr>
      <w:r>
        <w:rPr>
          <w:rFonts w:ascii="Calibri" w:eastAsia="Calibri" w:hAnsi="Calibri" w:cs="Calibri"/>
        </w:rPr>
        <w:t xml:space="preserve">Voices y su red internacional WIN (Worldwide Independent Network of Market Research), dan a conocer nuevos hallazgos de su encuesta global “Worldviews Survey”. La encuesta de este año recoge las perspectivas y creencias de 45.000 personas de 45 países. Con motivo del </w:t>
      </w:r>
      <w:r>
        <w:rPr>
          <w:rFonts w:ascii="Calibri" w:eastAsia="Calibri" w:hAnsi="Calibri" w:cs="Calibri"/>
          <w:b/>
          <w:bCs/>
        </w:rPr>
        <w:t>Día Mundial de la Salud Mental</w:t>
      </w:r>
      <w:r>
        <w:rPr>
          <w:rFonts w:ascii="Calibri" w:eastAsia="Calibri" w:hAnsi="Calibri" w:cs="Calibri"/>
        </w:rPr>
        <w:t xml:space="preserve">, los últimos resultados permiten conocer </w:t>
      </w:r>
      <w:r>
        <w:rPr>
          <w:rFonts w:ascii="Calibri" w:eastAsia="Calibri" w:hAnsi="Calibri" w:cs="Calibri"/>
          <w:b/>
          <w:bCs/>
        </w:rPr>
        <w:t>con qué frecuencia las personas experimentan estrés</w:t>
      </w:r>
      <w:r>
        <w:rPr>
          <w:rFonts w:ascii="Calibri" w:eastAsia="Calibri" w:hAnsi="Calibri" w:cs="Calibri"/>
        </w:rPr>
        <w:t xml:space="preserve"> </w:t>
      </w:r>
      <w:r>
        <w:rPr>
          <w:rFonts w:ascii="Calibri" w:eastAsia="Calibri" w:hAnsi="Calibri" w:cs="Calibri"/>
          <w:b/>
          <w:bCs/>
        </w:rPr>
        <w:t>y profundizar en</w:t>
      </w:r>
      <w:r>
        <w:rPr>
          <w:rFonts w:ascii="Calibri" w:eastAsia="Calibri" w:hAnsi="Calibri" w:cs="Calibri"/>
        </w:rPr>
        <w:t xml:space="preserve"> </w:t>
      </w:r>
      <w:r>
        <w:rPr>
          <w:rFonts w:ascii="Calibri" w:eastAsia="Calibri" w:hAnsi="Calibri" w:cs="Calibri"/>
          <w:b/>
          <w:bCs/>
        </w:rPr>
        <w:t>las principales situaciones y factores que lo desencadenan</w:t>
      </w:r>
      <w:r>
        <w:rPr>
          <w:rFonts w:ascii="Calibri" w:eastAsia="Calibri" w:hAnsi="Calibri" w:cs="Calibri"/>
        </w:rPr>
        <w:t>, ofreciendo una mirada sobre cómo se vive el estrés entre distintos grupos de la población a nivel mundial.</w:t>
      </w:r>
    </w:p>
    <w:p w14:paraId="00000009" w14:textId="77777777" w:rsidR="005B4244" w:rsidRDefault="005B4244">
      <w:pPr>
        <w:rPr>
          <w:rFonts w:ascii="Calibri" w:eastAsia="Calibri" w:hAnsi="Calibri" w:cs="Calibri"/>
          <w:b/>
          <w:bCs/>
          <w:sz w:val="28"/>
          <w:szCs w:val="28"/>
        </w:rPr>
      </w:pPr>
    </w:p>
    <w:p w14:paraId="0000000A" w14:textId="77777777" w:rsidR="005B4244" w:rsidRPr="00E57AC5" w:rsidRDefault="00000000">
      <w:pPr>
        <w:rPr>
          <w:rFonts w:ascii="Calibri" w:eastAsia="Calibri" w:hAnsi="Calibri" w:cs="Calibri"/>
          <w:b/>
          <w:bCs/>
          <w:color w:val="00B050"/>
          <w:sz w:val="26"/>
          <w:szCs w:val="26"/>
        </w:rPr>
      </w:pPr>
      <w:r w:rsidRPr="00E57AC5">
        <w:rPr>
          <w:rFonts w:ascii="Calibri" w:eastAsia="Calibri" w:hAnsi="Calibri" w:cs="Calibri"/>
          <w:b/>
          <w:bCs/>
          <w:color w:val="00B050"/>
          <w:sz w:val="26"/>
          <w:szCs w:val="26"/>
        </w:rPr>
        <w:t>Principales hallazgos</w:t>
      </w:r>
    </w:p>
    <w:p w14:paraId="0000000B" w14:textId="2FA7D810" w:rsidR="005B4244" w:rsidRDefault="00000000">
      <w:pPr>
        <w:spacing w:before="240" w:after="240"/>
        <w:jc w:val="both"/>
        <w:rPr>
          <w:rFonts w:ascii="Calibri" w:eastAsia="Calibri" w:hAnsi="Calibri" w:cs="Calibri"/>
        </w:rPr>
      </w:pPr>
      <w:r>
        <w:rPr>
          <w:rFonts w:ascii="Calibri" w:eastAsia="Calibri" w:hAnsi="Calibri" w:cs="Calibri"/>
        </w:rPr>
        <w:t xml:space="preserve">A medida que el mundo enfrenta inestabilidad, presiones económicas y un rápido cambio social, la salud mental se ha convertido en una problemática de creciente preocupación, con indicadores que dan cuenta de un </w:t>
      </w:r>
      <w:r>
        <w:rPr>
          <w:rFonts w:ascii="Calibri" w:eastAsia="Calibri" w:hAnsi="Calibri" w:cs="Calibri"/>
          <w:b/>
          <w:bCs/>
        </w:rPr>
        <w:t xml:space="preserve">escenario desafiante y de un impacto </w:t>
      </w:r>
      <w:r w:rsidR="00B57850">
        <w:rPr>
          <w:rFonts w:ascii="Calibri" w:eastAsia="Calibri" w:hAnsi="Calibri" w:cs="Calibri"/>
          <w:b/>
          <w:bCs/>
        </w:rPr>
        <w:t xml:space="preserve">muy </w:t>
      </w:r>
      <w:r>
        <w:rPr>
          <w:rFonts w:ascii="Calibri" w:eastAsia="Calibri" w:hAnsi="Calibri" w:cs="Calibri"/>
          <w:b/>
          <w:bCs/>
        </w:rPr>
        <w:t>extendido en la vida cotidiana de las personas.</w:t>
      </w:r>
    </w:p>
    <w:p w14:paraId="0000000C" w14:textId="55189808" w:rsidR="005B4244" w:rsidRDefault="00000000">
      <w:pPr>
        <w:jc w:val="both"/>
        <w:rPr>
          <w:rFonts w:ascii="Calibri" w:eastAsia="Calibri" w:hAnsi="Calibri" w:cs="Calibri"/>
        </w:rPr>
      </w:pPr>
      <w:r>
        <w:rPr>
          <w:rFonts w:ascii="Calibri" w:eastAsia="Calibri" w:hAnsi="Calibri" w:cs="Calibri"/>
        </w:rPr>
        <w:t xml:space="preserve">Así lo revela el </w:t>
      </w:r>
      <w:r w:rsidRPr="00B57850">
        <w:rPr>
          <w:rFonts w:ascii="Calibri" w:eastAsia="Calibri" w:hAnsi="Calibri" w:cs="Calibri"/>
          <w:b/>
          <w:bCs/>
        </w:rPr>
        <w:t>estudio global de WIN y Voices</w:t>
      </w:r>
      <w:r w:rsidR="00B57850">
        <w:rPr>
          <w:rFonts w:ascii="Calibri" w:eastAsia="Calibri" w:hAnsi="Calibri" w:cs="Calibri"/>
          <w:b/>
          <w:bCs/>
        </w:rPr>
        <w:t>!</w:t>
      </w:r>
      <w:r w:rsidRPr="00B57850">
        <w:rPr>
          <w:rFonts w:ascii="Calibri" w:eastAsia="Calibri" w:hAnsi="Calibri" w:cs="Calibri"/>
          <w:b/>
          <w:bCs/>
        </w:rPr>
        <w:t xml:space="preserve"> </w:t>
      </w:r>
      <w:r>
        <w:rPr>
          <w:rFonts w:ascii="Calibri" w:eastAsia="Calibri" w:hAnsi="Calibri" w:cs="Calibri"/>
        </w:rPr>
        <w:t xml:space="preserve">realizado en 45 países de todas las regiones del mundo. </w:t>
      </w:r>
      <w:r>
        <w:rPr>
          <w:rFonts w:ascii="Calibri" w:eastAsia="Calibri" w:hAnsi="Calibri" w:cs="Calibri"/>
          <w:b/>
          <w:bCs/>
        </w:rPr>
        <w:t xml:space="preserve">El 42% de la población mundial reporta experimentar estrés con frecuencia, </w:t>
      </w:r>
      <w:sdt>
        <w:sdtPr>
          <w:tag w:val="goog_rdk_0"/>
          <w:id w:val="1772073888"/>
        </w:sdtPr>
        <w:sdtContent/>
      </w:sdt>
      <w:r>
        <w:rPr>
          <w:rFonts w:ascii="Calibri" w:eastAsia="Calibri" w:hAnsi="Calibri" w:cs="Calibri"/>
          <w:b/>
          <w:bCs/>
        </w:rPr>
        <w:t>10 puntos porcentuales más que en 2025</w:t>
      </w:r>
      <w:r>
        <w:rPr>
          <w:rFonts w:ascii="Calibri" w:eastAsia="Calibri" w:hAnsi="Calibri" w:cs="Calibri"/>
        </w:rPr>
        <w:t xml:space="preserve">, un aumento considerable que se observa en todos los grupos etarios. Por el contrario, el </w:t>
      </w:r>
      <w:r w:rsidRPr="00B57850">
        <w:rPr>
          <w:rFonts w:ascii="Calibri" w:eastAsia="Calibri" w:hAnsi="Calibri" w:cs="Calibri"/>
          <w:b/>
          <w:bCs/>
        </w:rPr>
        <w:t>31% declara sufrirlo a veces</w:t>
      </w:r>
      <w:r>
        <w:rPr>
          <w:rFonts w:ascii="Calibri" w:eastAsia="Calibri" w:hAnsi="Calibri" w:cs="Calibri"/>
        </w:rPr>
        <w:t xml:space="preserve">, y un </w:t>
      </w:r>
      <w:r w:rsidRPr="00B57850">
        <w:rPr>
          <w:rFonts w:ascii="Calibri" w:eastAsia="Calibri" w:hAnsi="Calibri" w:cs="Calibri"/>
          <w:b/>
          <w:bCs/>
        </w:rPr>
        <w:t>26% rara vez o nunca.</w:t>
      </w:r>
      <w:r>
        <w:rPr>
          <w:rFonts w:ascii="Calibri" w:eastAsia="Calibri" w:hAnsi="Calibri" w:cs="Calibri"/>
        </w:rPr>
        <w:t xml:space="preserve"> </w:t>
      </w:r>
    </w:p>
    <w:p w14:paraId="0000000D" w14:textId="77777777" w:rsidR="005B4244" w:rsidRDefault="005B4244">
      <w:pPr>
        <w:jc w:val="both"/>
        <w:rPr>
          <w:rFonts w:ascii="Calibri" w:eastAsia="Calibri" w:hAnsi="Calibri" w:cs="Calibri"/>
        </w:rPr>
      </w:pPr>
    </w:p>
    <w:p w14:paraId="0000000E" w14:textId="4519DB6B" w:rsidR="005B4244" w:rsidRDefault="00000000">
      <w:pPr>
        <w:jc w:val="both"/>
        <w:rPr>
          <w:rFonts w:ascii="Calibri" w:eastAsia="Calibri" w:hAnsi="Calibri" w:cs="Calibri"/>
          <w:b/>
          <w:bCs/>
        </w:rPr>
      </w:pPr>
      <w:r>
        <w:rPr>
          <w:rFonts w:ascii="Calibri" w:eastAsia="Calibri" w:hAnsi="Calibri" w:cs="Calibri"/>
        </w:rPr>
        <w:t xml:space="preserve">El estrés, sin embargo, no afecta a todos por igual. </w:t>
      </w:r>
      <w:r>
        <w:rPr>
          <w:rFonts w:ascii="Calibri" w:eastAsia="Calibri" w:hAnsi="Calibri" w:cs="Calibri"/>
          <w:b/>
          <w:bCs/>
        </w:rPr>
        <w:t>Las mujeres reportan experimentarlo con mucha mayor frecuencia que los hombres (48% vs. 36%)</w:t>
      </w:r>
      <w:r>
        <w:rPr>
          <w:rFonts w:ascii="Calibri" w:eastAsia="Calibri" w:hAnsi="Calibri" w:cs="Calibri"/>
        </w:rPr>
        <w:t xml:space="preserve">, al igual que los </w:t>
      </w:r>
      <w:r>
        <w:rPr>
          <w:rFonts w:ascii="Calibri" w:eastAsia="Calibri" w:hAnsi="Calibri" w:cs="Calibri"/>
          <w:b/>
          <w:bCs/>
        </w:rPr>
        <w:t>jóvenes de 18 a 24 años</w:t>
      </w:r>
      <w:r>
        <w:rPr>
          <w:rFonts w:ascii="Calibri" w:eastAsia="Calibri" w:hAnsi="Calibri" w:cs="Calibri"/>
        </w:rPr>
        <w:t xml:space="preserve">, </w:t>
      </w:r>
      <w:r>
        <w:rPr>
          <w:rFonts w:ascii="Calibri" w:eastAsia="Calibri" w:hAnsi="Calibri" w:cs="Calibri"/>
          <w:b/>
          <w:bCs/>
        </w:rPr>
        <w:t>donde alcanza al 49%,</w:t>
      </w:r>
      <w:r>
        <w:rPr>
          <w:rFonts w:ascii="Calibri" w:eastAsia="Calibri" w:hAnsi="Calibri" w:cs="Calibri"/>
        </w:rPr>
        <w:t xml:space="preserve"> frente al 24% reportado por las personas de 65 años y más, el segmento etario consistentemente menos estresado. La frecuencia de estrés también es más elevada entre personas de </w:t>
      </w:r>
      <w:r>
        <w:rPr>
          <w:rFonts w:ascii="Calibri" w:eastAsia="Calibri" w:hAnsi="Calibri" w:cs="Calibri"/>
          <w:b/>
          <w:bCs/>
        </w:rPr>
        <w:t xml:space="preserve">menor nivel educativo y </w:t>
      </w:r>
      <w:r w:rsidR="00B57850">
        <w:rPr>
          <w:rFonts w:ascii="Calibri" w:eastAsia="Calibri" w:hAnsi="Calibri" w:cs="Calibri"/>
          <w:b/>
          <w:bCs/>
        </w:rPr>
        <w:t xml:space="preserve">entre </w:t>
      </w:r>
      <w:r>
        <w:rPr>
          <w:rFonts w:ascii="Calibri" w:eastAsia="Calibri" w:hAnsi="Calibri" w:cs="Calibri"/>
          <w:b/>
          <w:bCs/>
        </w:rPr>
        <w:t>aquellos que no tienen trabajo</w:t>
      </w:r>
      <w:r>
        <w:rPr>
          <w:rFonts w:ascii="Calibri" w:eastAsia="Calibri" w:hAnsi="Calibri" w:cs="Calibri"/>
        </w:rPr>
        <w:t xml:space="preserve">. </w:t>
      </w:r>
    </w:p>
    <w:p w14:paraId="0000000F" w14:textId="77777777" w:rsidR="005B4244" w:rsidRDefault="005B4244">
      <w:pPr>
        <w:jc w:val="both"/>
        <w:rPr>
          <w:rFonts w:ascii="Calibri" w:eastAsia="Calibri" w:hAnsi="Calibri" w:cs="Calibri"/>
        </w:rPr>
      </w:pPr>
    </w:p>
    <w:p w14:paraId="00000011" w14:textId="0C25D42F" w:rsidR="005B4244" w:rsidRDefault="00000000">
      <w:pPr>
        <w:jc w:val="both"/>
        <w:rPr>
          <w:rFonts w:ascii="Calibri" w:eastAsia="Calibri" w:hAnsi="Calibri" w:cs="Calibri"/>
          <w:b/>
          <w:bCs/>
        </w:rPr>
      </w:pPr>
      <w:r>
        <w:rPr>
          <w:rFonts w:ascii="Calibri" w:eastAsia="Calibri" w:hAnsi="Calibri" w:cs="Calibri"/>
        </w:rPr>
        <w:t xml:space="preserve">Las diferencias entre países son marcadas. </w:t>
      </w:r>
      <w:r>
        <w:rPr>
          <w:rFonts w:ascii="Calibri" w:eastAsia="Calibri" w:hAnsi="Calibri" w:cs="Calibri"/>
          <w:b/>
          <w:bCs/>
        </w:rPr>
        <w:t xml:space="preserve">Turquía encabeza el ranking, </w:t>
      </w:r>
      <w:r>
        <w:rPr>
          <w:rFonts w:ascii="Calibri" w:eastAsia="Calibri" w:hAnsi="Calibri" w:cs="Calibri"/>
        </w:rPr>
        <w:t xml:space="preserve">con un 70% de su población que declara experimentar estrés con frecuencia, </w:t>
      </w:r>
      <w:r>
        <w:rPr>
          <w:rFonts w:ascii="Calibri" w:eastAsia="Calibri" w:hAnsi="Calibri" w:cs="Calibri"/>
          <w:b/>
          <w:bCs/>
        </w:rPr>
        <w:t>seguido por Serbia</w:t>
      </w:r>
      <w:r>
        <w:rPr>
          <w:rFonts w:ascii="Calibri" w:eastAsia="Calibri" w:hAnsi="Calibri" w:cs="Calibri"/>
        </w:rPr>
        <w:t xml:space="preserve"> (61%), </w:t>
      </w:r>
      <w:r>
        <w:rPr>
          <w:rFonts w:ascii="Calibri" w:eastAsia="Calibri" w:hAnsi="Calibri" w:cs="Calibri"/>
          <w:b/>
          <w:bCs/>
        </w:rPr>
        <w:t xml:space="preserve">Japón </w:t>
      </w:r>
      <w:r>
        <w:rPr>
          <w:rFonts w:ascii="Calibri" w:eastAsia="Calibri" w:hAnsi="Calibri" w:cs="Calibri"/>
        </w:rPr>
        <w:t xml:space="preserve">(57%), </w:t>
      </w:r>
      <w:r>
        <w:rPr>
          <w:rFonts w:ascii="Calibri" w:eastAsia="Calibri" w:hAnsi="Calibri" w:cs="Calibri"/>
          <w:b/>
          <w:bCs/>
        </w:rPr>
        <w:t>Chile y Costa de Marfil</w:t>
      </w:r>
      <w:r>
        <w:rPr>
          <w:rFonts w:ascii="Calibri" w:eastAsia="Calibri" w:hAnsi="Calibri" w:cs="Calibri"/>
        </w:rPr>
        <w:t xml:space="preserve"> (56%) </w:t>
      </w:r>
      <w:r>
        <w:rPr>
          <w:rFonts w:ascii="Calibri" w:eastAsia="Calibri" w:hAnsi="Calibri" w:cs="Calibri"/>
          <w:b/>
          <w:bCs/>
        </w:rPr>
        <w:t>y Ecuador</w:t>
      </w:r>
      <w:r>
        <w:rPr>
          <w:rFonts w:ascii="Calibri" w:eastAsia="Calibri" w:hAnsi="Calibri" w:cs="Calibri"/>
        </w:rPr>
        <w:t xml:space="preserve"> (55%). En el otro extremo se ubica </w:t>
      </w:r>
      <w:r>
        <w:rPr>
          <w:rFonts w:ascii="Calibri" w:eastAsia="Calibri" w:hAnsi="Calibri" w:cs="Calibri"/>
          <w:b/>
          <w:bCs/>
        </w:rPr>
        <w:t>Vietnam</w:t>
      </w:r>
      <w:r>
        <w:rPr>
          <w:rFonts w:ascii="Calibri" w:eastAsia="Calibri" w:hAnsi="Calibri" w:cs="Calibri"/>
        </w:rPr>
        <w:t xml:space="preserve">, con apenas un 12%, seguido por </w:t>
      </w:r>
      <w:r>
        <w:rPr>
          <w:rFonts w:ascii="Calibri" w:eastAsia="Calibri" w:hAnsi="Calibri" w:cs="Calibri"/>
          <w:b/>
          <w:bCs/>
        </w:rPr>
        <w:t>China</w:t>
      </w:r>
      <w:r>
        <w:rPr>
          <w:rFonts w:ascii="Calibri" w:eastAsia="Calibri" w:hAnsi="Calibri" w:cs="Calibri"/>
        </w:rPr>
        <w:t xml:space="preserve"> (18%) </w:t>
      </w:r>
      <w:r>
        <w:rPr>
          <w:rFonts w:ascii="Calibri" w:eastAsia="Calibri" w:hAnsi="Calibri" w:cs="Calibri"/>
          <w:b/>
          <w:bCs/>
        </w:rPr>
        <w:t>y Dinamarca</w:t>
      </w:r>
      <w:r>
        <w:rPr>
          <w:rFonts w:ascii="Calibri" w:eastAsia="Calibri" w:hAnsi="Calibri" w:cs="Calibri"/>
        </w:rPr>
        <w:t xml:space="preserve"> (21%), que presentan los </w:t>
      </w:r>
      <w:r>
        <w:rPr>
          <w:rFonts w:ascii="Calibri" w:eastAsia="Calibri" w:hAnsi="Calibri" w:cs="Calibri"/>
          <w:b/>
          <w:bCs/>
        </w:rPr>
        <w:t>niveles más bajos de estrés reportado.</w:t>
      </w:r>
    </w:p>
    <w:p w14:paraId="04883814" w14:textId="77777777" w:rsidR="00253E82" w:rsidRPr="007D64CA" w:rsidRDefault="00253E82">
      <w:pPr>
        <w:jc w:val="both"/>
        <w:rPr>
          <w:rFonts w:ascii="Calibri" w:eastAsia="Calibri" w:hAnsi="Calibri" w:cs="Calibri"/>
          <w:b/>
          <w:bCs/>
        </w:rPr>
      </w:pPr>
    </w:p>
    <w:p w14:paraId="00000012" w14:textId="41A082C1" w:rsidR="005B4244" w:rsidRDefault="00000000">
      <w:pPr>
        <w:jc w:val="both"/>
        <w:rPr>
          <w:rFonts w:ascii="Calibri" w:eastAsia="Calibri" w:hAnsi="Calibri" w:cs="Calibri"/>
        </w:rPr>
      </w:pPr>
      <w:r>
        <w:rPr>
          <w:rFonts w:ascii="Calibri" w:eastAsia="Calibri" w:hAnsi="Calibri" w:cs="Calibri"/>
        </w:rPr>
        <w:t xml:space="preserve">En </w:t>
      </w:r>
      <w:r>
        <w:rPr>
          <w:rFonts w:ascii="Calibri" w:eastAsia="Calibri" w:hAnsi="Calibri" w:cs="Calibri"/>
          <w:b/>
          <w:bCs/>
        </w:rPr>
        <w:t>América Latina, Chile (56%) y Ecuador (55%) registran los niveles más altos de estrés frecuente</w:t>
      </w:r>
      <w:r>
        <w:rPr>
          <w:rFonts w:ascii="Calibri" w:eastAsia="Calibri" w:hAnsi="Calibri" w:cs="Calibri"/>
        </w:rPr>
        <w:t xml:space="preserve">. </w:t>
      </w:r>
      <w:r>
        <w:rPr>
          <w:rFonts w:ascii="Calibri" w:eastAsia="Calibri" w:hAnsi="Calibri" w:cs="Calibri"/>
          <w:b/>
          <w:bCs/>
        </w:rPr>
        <w:t>Les siguen Argentina (50%) y Paraguay (47%)</w:t>
      </w:r>
      <w:r>
        <w:rPr>
          <w:rFonts w:ascii="Calibri" w:eastAsia="Calibri" w:hAnsi="Calibri" w:cs="Calibri"/>
        </w:rPr>
        <w:t xml:space="preserve">, donde también alcanza a cerca de la mitad de la población. </w:t>
      </w:r>
      <w:r w:rsidRPr="00B57850">
        <w:rPr>
          <w:rFonts w:ascii="Calibri" w:eastAsia="Calibri" w:hAnsi="Calibri" w:cs="Calibri"/>
          <w:b/>
          <w:bCs/>
        </w:rPr>
        <w:t>Colombia, México</w:t>
      </w:r>
      <w:r>
        <w:rPr>
          <w:rFonts w:ascii="Calibri" w:eastAsia="Calibri" w:hAnsi="Calibri" w:cs="Calibri"/>
        </w:rPr>
        <w:t xml:space="preserve"> (ambos con 41%) y</w:t>
      </w:r>
      <w:r w:rsidRPr="00B57850">
        <w:rPr>
          <w:rFonts w:ascii="Calibri" w:eastAsia="Calibri" w:hAnsi="Calibri" w:cs="Calibri"/>
          <w:b/>
          <w:bCs/>
        </w:rPr>
        <w:t xml:space="preserve"> Brasil</w:t>
      </w:r>
      <w:r>
        <w:rPr>
          <w:rFonts w:ascii="Calibri" w:eastAsia="Calibri" w:hAnsi="Calibri" w:cs="Calibri"/>
        </w:rPr>
        <w:t xml:space="preserve"> (38%) presentan un </w:t>
      </w:r>
      <w:r w:rsidRPr="00B57850">
        <w:rPr>
          <w:rFonts w:ascii="Calibri" w:eastAsia="Calibri" w:hAnsi="Calibri" w:cs="Calibri"/>
          <w:b/>
          <w:bCs/>
        </w:rPr>
        <w:t>nivel de estrés más cercano al promedio</w:t>
      </w:r>
      <w:r>
        <w:rPr>
          <w:rFonts w:ascii="Calibri" w:eastAsia="Calibri" w:hAnsi="Calibri" w:cs="Calibri"/>
        </w:rPr>
        <w:t xml:space="preserve"> global. </w:t>
      </w:r>
      <w:r w:rsidRPr="00B57850">
        <w:rPr>
          <w:rFonts w:ascii="Calibri" w:eastAsia="Calibri" w:hAnsi="Calibri" w:cs="Calibri"/>
          <w:b/>
          <w:bCs/>
        </w:rPr>
        <w:t>Venezuela</w:t>
      </w:r>
      <w:r>
        <w:rPr>
          <w:rFonts w:ascii="Calibri" w:eastAsia="Calibri" w:hAnsi="Calibri" w:cs="Calibri"/>
        </w:rPr>
        <w:t xml:space="preserve"> (37%) </w:t>
      </w:r>
      <w:r w:rsidRPr="00B57850">
        <w:rPr>
          <w:rFonts w:ascii="Calibri" w:eastAsia="Calibri" w:hAnsi="Calibri" w:cs="Calibri"/>
          <w:b/>
          <w:bCs/>
        </w:rPr>
        <w:t>y Perú</w:t>
      </w:r>
      <w:r>
        <w:rPr>
          <w:rFonts w:ascii="Calibri" w:eastAsia="Calibri" w:hAnsi="Calibri" w:cs="Calibri"/>
        </w:rPr>
        <w:t xml:space="preserve"> </w:t>
      </w:r>
      <w:r>
        <w:rPr>
          <w:rFonts w:ascii="Calibri" w:eastAsia="Calibri" w:hAnsi="Calibri" w:cs="Calibri"/>
        </w:rPr>
        <w:lastRenderedPageBreak/>
        <w:t xml:space="preserve">(35%), en cambio, </w:t>
      </w:r>
      <w:r w:rsidRPr="00B57850">
        <w:rPr>
          <w:rFonts w:ascii="Calibri" w:eastAsia="Calibri" w:hAnsi="Calibri" w:cs="Calibri"/>
          <w:b/>
          <w:bCs/>
        </w:rPr>
        <w:t>registran</w:t>
      </w:r>
      <w:r w:rsidR="00B57850">
        <w:rPr>
          <w:rFonts w:ascii="Calibri" w:eastAsia="Calibri" w:hAnsi="Calibri" w:cs="Calibri"/>
          <w:b/>
          <w:bCs/>
        </w:rPr>
        <w:t xml:space="preserve"> en la región</w:t>
      </w:r>
      <w:r w:rsidRPr="00B57850">
        <w:rPr>
          <w:rFonts w:ascii="Calibri" w:eastAsia="Calibri" w:hAnsi="Calibri" w:cs="Calibri"/>
          <w:b/>
          <w:bCs/>
        </w:rPr>
        <w:t xml:space="preserve"> las proporciones más bajas</w:t>
      </w:r>
      <w:r>
        <w:rPr>
          <w:rFonts w:ascii="Calibri" w:eastAsia="Calibri" w:hAnsi="Calibri" w:cs="Calibri"/>
        </w:rPr>
        <w:t xml:space="preserve"> de personas que declaran experimentar estrés con frecuencia</w:t>
      </w:r>
      <w:r w:rsidR="00B57850">
        <w:rPr>
          <w:rFonts w:ascii="Calibri" w:eastAsia="Calibri" w:hAnsi="Calibri" w:cs="Calibri"/>
        </w:rPr>
        <w:t xml:space="preserve">. </w:t>
      </w:r>
    </w:p>
    <w:p w14:paraId="00000013" w14:textId="77777777" w:rsidR="005B4244" w:rsidRDefault="005B4244">
      <w:pPr>
        <w:jc w:val="both"/>
        <w:rPr>
          <w:rFonts w:ascii="Calibri" w:eastAsia="Calibri" w:hAnsi="Calibri" w:cs="Calibri"/>
        </w:rPr>
      </w:pPr>
    </w:p>
    <w:p w14:paraId="00000014" w14:textId="77777777" w:rsidR="005B4244" w:rsidRDefault="00000000">
      <w:pPr>
        <w:jc w:val="center"/>
        <w:rPr>
          <w:rFonts w:ascii="Calibri" w:eastAsia="Calibri" w:hAnsi="Calibri" w:cs="Calibri"/>
          <w:b/>
          <w:bCs/>
          <w:i/>
          <w:iCs/>
        </w:rPr>
      </w:pPr>
      <w:r>
        <w:rPr>
          <w:rFonts w:ascii="Calibri" w:eastAsia="Calibri" w:hAnsi="Calibri" w:cs="Calibri"/>
          <w:b/>
          <w:bCs/>
          <w:i/>
          <w:iCs/>
        </w:rPr>
        <w:t>“¿Con qué frecuencia diría usted que sufre de estrés?”</w:t>
      </w:r>
    </w:p>
    <w:p w14:paraId="00000015" w14:textId="0827CAC7" w:rsidR="005B4244" w:rsidRDefault="00384AC7">
      <w:pPr>
        <w:jc w:val="center"/>
        <w:rPr>
          <w:rFonts w:ascii="Calibri" w:eastAsia="Calibri" w:hAnsi="Calibri" w:cs="Calibri"/>
          <w:b/>
          <w:bCs/>
          <w:i/>
          <w:iCs/>
        </w:rPr>
      </w:pPr>
      <w:r>
        <w:rPr>
          <w:noProof/>
        </w:rPr>
        <mc:AlternateContent>
          <mc:Choice Requires="wps">
            <w:drawing>
              <wp:anchor distT="0" distB="0" distL="114300" distR="114300" simplePos="0" relativeHeight="251658240" behindDoc="0" locked="0" layoutInCell="1" hidden="0" allowOverlap="1" wp14:anchorId="62E9AF40" wp14:editId="634712A4">
                <wp:simplePos x="0" y="0"/>
                <wp:positionH relativeFrom="column">
                  <wp:posOffset>1962150</wp:posOffset>
                </wp:positionH>
                <wp:positionV relativeFrom="paragraph">
                  <wp:posOffset>553720</wp:posOffset>
                </wp:positionV>
                <wp:extent cx="171450" cy="3571875"/>
                <wp:effectExtent l="0" t="0" r="19050" b="28575"/>
                <wp:wrapNone/>
                <wp:docPr id="2063848317" name="Rectángulo 2063848317"/>
                <wp:cNvGraphicFramePr/>
                <a:graphic xmlns:a="http://schemas.openxmlformats.org/drawingml/2006/main">
                  <a:graphicData uri="http://schemas.microsoft.com/office/word/2010/wordprocessingShape">
                    <wps:wsp>
                      <wps:cNvSpPr/>
                      <wps:spPr>
                        <a:xfrm>
                          <a:off x="0" y="0"/>
                          <a:ext cx="171450" cy="3571875"/>
                        </a:xfrm>
                        <a:prstGeom prst="rect">
                          <a:avLst/>
                        </a:prstGeom>
                        <a:noFill/>
                        <a:ln w="19050" cap="flat" cmpd="sng">
                          <a:solidFill>
                            <a:schemeClr val="accent1"/>
                          </a:solidFill>
                          <a:prstDash val="solid"/>
                          <a:round/>
                          <a:headEnd type="none" w="sm" len="sm"/>
                          <a:tailEnd type="none" w="sm" len="sm"/>
                        </a:ln>
                      </wps:spPr>
                      <wps:txbx>
                        <w:txbxContent>
                          <w:p w14:paraId="35220E39" w14:textId="77777777" w:rsidR="005B4244" w:rsidRDefault="005B4244">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2E9AF40" id="Rectángulo 2063848317" o:spid="_x0000_s1026" style="position:absolute;left:0;text-align:left;margin-left:154.5pt;margin-top:43.6pt;width:13.5pt;height:281.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" filled="f" strokecolor="#4f81bd [3204]" strokeweight="1.5pt">
                <v:stroke startarrowwidth="narrow" startarrowlength="short" endarrowwidth="narrow" endarrowlength="short" joinstyle="round"/>
                <v:textbox inset="2.53958mm,2.53958mm,2.53958mm,2.53958mm">
                  <w:txbxContent>
                    <w:p w14:paraId="35220E39" w14:textId="77777777" w:rsidR="005B4244" w:rsidRDefault="005B4244">
                      <w:pPr>
                        <w:spacing w:line="240" w:lineRule="auto"/>
                        <w:textDirection w:val="btLr"/>
                      </w:pPr>
                    </w:p>
                  </w:txbxContent>
                </v:textbox>
              </v:rect>
            </w:pict>
          </mc:Fallback>
        </mc:AlternateContent>
      </w:r>
      <w:r>
        <w:rPr>
          <w:rFonts w:ascii="Calibri" w:eastAsia="Calibri" w:hAnsi="Calibri" w:cs="Calibri"/>
          <w:b/>
          <w:bCs/>
          <w:i/>
          <w:iCs/>
          <w:noProof/>
        </w:rPr>
        <w:drawing>
          <wp:inline distT="0" distB="0" distL="0" distR="0" wp14:anchorId="077B2EC5" wp14:editId="54AA4DFD">
            <wp:extent cx="6686550" cy="4686300"/>
            <wp:effectExtent l="0" t="0" r="0" b="0"/>
            <wp:docPr id="2063848314" name="Gráfico 2063848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0000016" w14:textId="77777777" w:rsidR="005B4244" w:rsidRDefault="00000000">
      <w:pPr>
        <w:jc w:val="center"/>
        <w:rPr>
          <w:rFonts w:ascii="Calibri" w:eastAsia="Calibri" w:hAnsi="Calibri" w:cs="Calibri"/>
        </w:rPr>
      </w:pPr>
      <w:r>
        <w:rPr>
          <w:rFonts w:ascii="Calibri" w:eastAsia="Calibri" w:hAnsi="Calibri" w:cs="Calibri"/>
        </w:rPr>
        <w:t>Fuente: WIN Voices! en Argentina</w:t>
      </w:r>
    </w:p>
    <w:p w14:paraId="00000017" w14:textId="77777777" w:rsidR="005B4244" w:rsidRDefault="005B4244">
      <w:pPr>
        <w:jc w:val="center"/>
        <w:rPr>
          <w:rFonts w:ascii="Calibri" w:eastAsia="Calibri" w:hAnsi="Calibri" w:cs="Calibri"/>
        </w:rPr>
      </w:pPr>
    </w:p>
    <w:p w14:paraId="1C9DA200" w14:textId="04BAAE29" w:rsidR="002C5EC2" w:rsidRDefault="002C5EC2">
      <w:pPr>
        <w:spacing w:before="240" w:after="240"/>
        <w:jc w:val="both"/>
        <w:rPr>
          <w:rFonts w:ascii="Calibri" w:eastAsia="Calibri" w:hAnsi="Calibri" w:cs="Calibri"/>
        </w:rPr>
      </w:pPr>
      <w:r w:rsidRPr="002C5EC2">
        <w:rPr>
          <w:rFonts w:ascii="Calibri" w:eastAsia="Calibri" w:hAnsi="Calibri" w:cs="Calibri"/>
        </w:rPr>
        <w:t>Los resultados de Argentina encienden una señal de alerta.</w:t>
      </w:r>
      <w:r>
        <w:rPr>
          <w:rFonts w:ascii="Calibri" w:eastAsia="Calibri" w:hAnsi="Calibri" w:cs="Calibri"/>
          <w:b/>
          <w:bCs/>
        </w:rPr>
        <w:t xml:space="preserve"> </w:t>
      </w:r>
      <w:r w:rsidRPr="002C5EC2">
        <w:rPr>
          <w:rFonts w:ascii="Calibri" w:eastAsia="Calibri" w:hAnsi="Calibri" w:cs="Calibri"/>
          <w:b/>
          <w:bCs/>
        </w:rPr>
        <w:t xml:space="preserve">La mitad de los argentinos (50%) afirma experimentar estrés con frecuencia, un fuerte </w:t>
      </w:r>
      <w:r>
        <w:rPr>
          <w:rFonts w:ascii="Calibri" w:eastAsia="Calibri" w:hAnsi="Calibri" w:cs="Calibri"/>
          <w:b/>
          <w:bCs/>
        </w:rPr>
        <w:t xml:space="preserve">crecimiento </w:t>
      </w:r>
      <w:r w:rsidRPr="002C5EC2">
        <w:rPr>
          <w:rFonts w:ascii="Calibri" w:eastAsia="Calibri" w:hAnsi="Calibri" w:cs="Calibri"/>
          <w:b/>
          <w:bCs/>
        </w:rPr>
        <w:t>frente al 3</w:t>
      </w:r>
      <w:r w:rsidR="00DB1DF6">
        <w:rPr>
          <w:rFonts w:ascii="Calibri" w:eastAsia="Calibri" w:hAnsi="Calibri" w:cs="Calibri"/>
          <w:b/>
          <w:bCs/>
        </w:rPr>
        <w:t>3</w:t>
      </w:r>
      <w:r w:rsidRPr="002C5EC2">
        <w:rPr>
          <w:rFonts w:ascii="Calibri" w:eastAsia="Calibri" w:hAnsi="Calibri" w:cs="Calibri"/>
          <w:b/>
          <w:bCs/>
        </w:rPr>
        <w:t>% registrado en 2025.</w:t>
      </w:r>
      <w:r w:rsidRPr="002C5EC2">
        <w:rPr>
          <w:rFonts w:ascii="Calibri" w:eastAsia="Calibri" w:hAnsi="Calibri" w:cs="Calibri"/>
        </w:rPr>
        <w:t xml:space="preserve"> </w:t>
      </w:r>
      <w:r>
        <w:rPr>
          <w:rFonts w:ascii="Calibri" w:eastAsia="Calibri" w:hAnsi="Calibri" w:cs="Calibri"/>
        </w:rPr>
        <w:t xml:space="preserve">A su vez, un </w:t>
      </w:r>
      <w:r>
        <w:rPr>
          <w:rFonts w:ascii="Calibri" w:eastAsia="Calibri" w:hAnsi="Calibri" w:cs="Calibri"/>
          <w:b/>
          <w:bCs/>
        </w:rPr>
        <w:t>29% señala experimentarlo algunas veces</w:t>
      </w:r>
      <w:r>
        <w:rPr>
          <w:rFonts w:ascii="Calibri" w:eastAsia="Calibri" w:hAnsi="Calibri" w:cs="Calibri"/>
        </w:rPr>
        <w:t xml:space="preserve">, mientras que </w:t>
      </w:r>
      <w:r>
        <w:rPr>
          <w:rFonts w:ascii="Calibri" w:eastAsia="Calibri" w:hAnsi="Calibri" w:cs="Calibri"/>
          <w:b/>
          <w:bCs/>
        </w:rPr>
        <w:t>solo un 18% dice sentirlo rara vez o nunca.</w:t>
      </w:r>
    </w:p>
    <w:p w14:paraId="35650DB3" w14:textId="1D3B09DA" w:rsidR="00F13373" w:rsidRPr="00FB1326" w:rsidRDefault="00F13373" w:rsidP="00F13373">
      <w:pPr>
        <w:spacing w:before="240" w:after="240"/>
        <w:jc w:val="both"/>
        <w:rPr>
          <w:rFonts w:ascii="Calibri" w:eastAsia="Calibri" w:hAnsi="Calibri" w:cs="Calibri"/>
        </w:rPr>
      </w:pPr>
      <w:r w:rsidRPr="00F13373">
        <w:rPr>
          <w:rFonts w:ascii="Calibri" w:eastAsia="Calibri" w:hAnsi="Calibri" w:cs="Calibri"/>
        </w:rPr>
        <w:t>Al igual que en 2025 y en línea con la tendencia global,</w:t>
      </w:r>
      <w:r w:rsidRPr="00F13373">
        <w:rPr>
          <w:rFonts w:ascii="Calibri" w:eastAsia="Calibri" w:hAnsi="Calibri" w:cs="Calibri"/>
          <w:b/>
          <w:bCs/>
        </w:rPr>
        <w:t xml:space="preserve"> las mujeres y los jóvenes son los grupos más afectados </w:t>
      </w:r>
      <w:r w:rsidRPr="00253E82">
        <w:rPr>
          <w:rFonts w:ascii="Calibri" w:eastAsia="Calibri" w:hAnsi="Calibri" w:cs="Calibri"/>
        </w:rPr>
        <w:t>por el estrés en Argentina.</w:t>
      </w:r>
      <w:r w:rsidRPr="00F13373">
        <w:rPr>
          <w:rFonts w:ascii="Calibri" w:eastAsia="Calibri" w:hAnsi="Calibri" w:cs="Calibri"/>
          <w:b/>
          <w:bCs/>
        </w:rPr>
        <w:t xml:space="preserve"> El 57% de las mujeres declara experimentarlo con frecuencia, frente al 41% de los hombres</w:t>
      </w:r>
      <w:r w:rsidRPr="00253E82">
        <w:rPr>
          <w:rFonts w:ascii="Calibri" w:eastAsia="Calibri" w:hAnsi="Calibri" w:cs="Calibri"/>
        </w:rPr>
        <w:t>, una brecha de 16 puntos porcentuales, algo más pronunciada que la observada a nivel global</w:t>
      </w:r>
      <w:r w:rsidR="00253E82">
        <w:rPr>
          <w:rFonts w:ascii="Calibri" w:eastAsia="Calibri" w:hAnsi="Calibri" w:cs="Calibri"/>
        </w:rPr>
        <w:t xml:space="preserve">. </w:t>
      </w:r>
      <w:r>
        <w:rPr>
          <w:rFonts w:ascii="Calibri" w:eastAsia="Calibri" w:hAnsi="Calibri" w:cs="Calibri"/>
        </w:rPr>
        <w:t>Por otro lado,</w:t>
      </w:r>
      <w:r w:rsidRPr="00F13373">
        <w:rPr>
          <w:rFonts w:ascii="Calibri" w:eastAsia="Calibri" w:hAnsi="Calibri" w:cs="Calibri"/>
        </w:rPr>
        <w:t xml:space="preserve"> </w:t>
      </w:r>
      <w:r>
        <w:rPr>
          <w:rFonts w:ascii="Calibri" w:eastAsia="Calibri" w:hAnsi="Calibri" w:cs="Calibri"/>
        </w:rPr>
        <w:t>e</w:t>
      </w:r>
      <w:r w:rsidRPr="00F13373">
        <w:rPr>
          <w:rFonts w:ascii="Calibri" w:eastAsia="Calibri" w:hAnsi="Calibri" w:cs="Calibri"/>
        </w:rPr>
        <w:t xml:space="preserve">ntre los </w:t>
      </w:r>
      <w:r w:rsidRPr="00F13373">
        <w:rPr>
          <w:rFonts w:ascii="Calibri" w:eastAsia="Calibri" w:hAnsi="Calibri" w:cs="Calibri"/>
          <w:b/>
          <w:bCs/>
        </w:rPr>
        <w:t>jóvenes de 18 a 24 años,</w:t>
      </w:r>
      <w:r>
        <w:rPr>
          <w:rFonts w:ascii="Calibri" w:eastAsia="Calibri" w:hAnsi="Calibri" w:cs="Calibri"/>
          <w:b/>
          <w:bCs/>
        </w:rPr>
        <w:t xml:space="preserve"> el </w:t>
      </w:r>
      <w:r w:rsidRPr="00FB1326">
        <w:rPr>
          <w:rFonts w:ascii="Calibri" w:eastAsia="Calibri" w:hAnsi="Calibri" w:cs="Calibri"/>
          <w:b/>
          <w:bCs/>
        </w:rPr>
        <w:t>padecimiento frecuente de estrés alcanza al 54%,</w:t>
      </w:r>
      <w:r w:rsidRPr="00FB1326">
        <w:rPr>
          <w:rFonts w:ascii="Calibri" w:eastAsia="Calibri" w:hAnsi="Calibri" w:cs="Calibri"/>
        </w:rPr>
        <w:t xml:space="preserve"> y siguiendo el patrón observado </w:t>
      </w:r>
      <w:r w:rsidR="00253E82" w:rsidRPr="00FB1326">
        <w:rPr>
          <w:rFonts w:ascii="Calibri" w:eastAsia="Calibri" w:hAnsi="Calibri" w:cs="Calibri"/>
        </w:rPr>
        <w:t>en el mundo</w:t>
      </w:r>
      <w:r w:rsidRPr="00FB1326">
        <w:rPr>
          <w:rFonts w:ascii="Calibri" w:eastAsia="Calibri" w:hAnsi="Calibri" w:cs="Calibri"/>
        </w:rPr>
        <w:t xml:space="preserve">, </w:t>
      </w:r>
      <w:r w:rsidRPr="00FB1326">
        <w:rPr>
          <w:rFonts w:ascii="Calibri" w:eastAsia="Calibri" w:hAnsi="Calibri" w:cs="Calibri"/>
          <w:b/>
          <w:bCs/>
        </w:rPr>
        <w:t>la incidencia del estrés cae entre los mayores de</w:t>
      </w:r>
      <w:r w:rsidR="00201DA5" w:rsidRPr="00FB1326">
        <w:rPr>
          <w:rFonts w:ascii="Calibri" w:eastAsia="Calibri" w:hAnsi="Calibri" w:cs="Calibri"/>
          <w:b/>
          <w:bCs/>
        </w:rPr>
        <w:t xml:space="preserve"> 50</w:t>
      </w:r>
      <w:r w:rsidRPr="00FB1326">
        <w:rPr>
          <w:rFonts w:ascii="Calibri" w:eastAsia="Calibri" w:hAnsi="Calibri" w:cs="Calibri"/>
          <w:b/>
          <w:bCs/>
        </w:rPr>
        <w:t xml:space="preserve"> (44%).</w:t>
      </w:r>
    </w:p>
    <w:p w14:paraId="6F15B58F" w14:textId="08B8083B" w:rsidR="00384AC7" w:rsidRDefault="00F13373">
      <w:pPr>
        <w:spacing w:before="240" w:after="240"/>
        <w:jc w:val="both"/>
        <w:rPr>
          <w:rFonts w:ascii="Calibri" w:eastAsia="Calibri" w:hAnsi="Calibri" w:cs="Calibri"/>
        </w:rPr>
      </w:pPr>
      <w:r w:rsidRPr="00F13373">
        <w:rPr>
          <w:rFonts w:ascii="Calibri" w:eastAsia="Calibri" w:hAnsi="Calibri" w:cs="Calibri"/>
          <w:b/>
          <w:bCs/>
        </w:rPr>
        <w:t>También se observan diferencias según el nivel educativo, el nivel socioeconómico y el lugar de residencia.</w:t>
      </w:r>
      <w:r w:rsidRPr="00F13373">
        <w:rPr>
          <w:rFonts w:ascii="Calibri" w:eastAsia="Calibri" w:hAnsi="Calibri" w:cs="Calibri"/>
        </w:rPr>
        <w:t xml:space="preserve"> El estrés frecuente disminuye entre las personas con </w:t>
      </w:r>
      <w:r w:rsidRPr="00DB1DF6">
        <w:rPr>
          <w:rFonts w:ascii="Calibri" w:eastAsia="Calibri" w:hAnsi="Calibri" w:cs="Calibri"/>
          <w:b/>
          <w:bCs/>
        </w:rPr>
        <w:t>mayor nivel educativo</w:t>
      </w:r>
      <w:r w:rsidRPr="00F13373">
        <w:rPr>
          <w:rFonts w:ascii="Calibri" w:eastAsia="Calibri" w:hAnsi="Calibri" w:cs="Calibri"/>
        </w:rPr>
        <w:t xml:space="preserve"> </w:t>
      </w:r>
      <w:r w:rsidRPr="00DB1DF6">
        <w:rPr>
          <w:rFonts w:ascii="Calibri" w:eastAsia="Calibri" w:hAnsi="Calibri" w:cs="Calibri"/>
          <w:b/>
          <w:bCs/>
        </w:rPr>
        <w:t>y</w:t>
      </w:r>
      <w:r w:rsidRPr="00F13373">
        <w:rPr>
          <w:rFonts w:ascii="Calibri" w:eastAsia="Calibri" w:hAnsi="Calibri" w:cs="Calibri"/>
        </w:rPr>
        <w:t xml:space="preserve"> </w:t>
      </w:r>
      <w:r w:rsidRPr="00F13373">
        <w:rPr>
          <w:rFonts w:ascii="Calibri" w:eastAsia="Calibri" w:hAnsi="Calibri" w:cs="Calibri"/>
          <w:b/>
          <w:bCs/>
        </w:rPr>
        <w:t xml:space="preserve">entre quienes pertenecen al nivel socioeconómico alto (38%) y </w:t>
      </w:r>
      <w:r w:rsidR="00253E82">
        <w:rPr>
          <w:rFonts w:ascii="Calibri" w:eastAsia="Calibri" w:hAnsi="Calibri" w:cs="Calibri"/>
          <w:b/>
          <w:bCs/>
        </w:rPr>
        <w:t>quienes residen en</w:t>
      </w:r>
      <w:r w:rsidRPr="00F13373">
        <w:rPr>
          <w:rFonts w:ascii="Calibri" w:eastAsia="Calibri" w:hAnsi="Calibri" w:cs="Calibri"/>
          <w:b/>
          <w:bCs/>
        </w:rPr>
        <w:t xml:space="preserve"> CABA (40%)</w:t>
      </w:r>
      <w:r w:rsidRPr="00F13373">
        <w:rPr>
          <w:rFonts w:ascii="Calibri" w:eastAsia="Calibri" w:hAnsi="Calibri" w:cs="Calibri"/>
        </w:rPr>
        <w:t>.</w:t>
      </w:r>
    </w:p>
    <w:p w14:paraId="7A91A803" w14:textId="77777777" w:rsidR="00384AC7" w:rsidRDefault="00384AC7">
      <w:pPr>
        <w:spacing w:before="240" w:after="240"/>
        <w:jc w:val="both"/>
        <w:rPr>
          <w:rFonts w:ascii="Calibri" w:eastAsia="Calibri" w:hAnsi="Calibri" w:cs="Calibri"/>
        </w:rPr>
      </w:pPr>
    </w:p>
    <w:p w14:paraId="0000001C" w14:textId="77777777" w:rsidR="005B4244" w:rsidRPr="00E57AC5" w:rsidRDefault="00000000">
      <w:pPr>
        <w:spacing w:before="240" w:after="240"/>
        <w:jc w:val="both"/>
        <w:rPr>
          <w:rFonts w:ascii="Calibri" w:eastAsia="Calibri" w:hAnsi="Calibri" w:cs="Calibri"/>
          <w:b/>
          <w:bCs/>
          <w:color w:val="00B050"/>
        </w:rPr>
      </w:pPr>
      <w:r w:rsidRPr="00E57AC5">
        <w:rPr>
          <w:rFonts w:ascii="Calibri" w:eastAsia="Calibri" w:hAnsi="Calibri" w:cs="Calibri"/>
          <w:b/>
          <w:bCs/>
          <w:color w:val="00B050"/>
        </w:rPr>
        <w:lastRenderedPageBreak/>
        <w:t xml:space="preserve">¿CUÁLES </w:t>
      </w:r>
      <w:r w:rsidRPr="009C5F21">
        <w:rPr>
          <w:rFonts w:ascii="Calibri" w:eastAsia="Calibri" w:hAnsi="Calibri" w:cs="Calibri"/>
          <w:b/>
          <w:bCs/>
          <w:color w:val="00B050"/>
        </w:rPr>
        <w:t>SON LOS PRINCIPALES</w:t>
      </w:r>
      <w:r w:rsidRPr="00E57AC5">
        <w:rPr>
          <w:rFonts w:ascii="Calibri" w:eastAsia="Calibri" w:hAnsi="Calibri" w:cs="Calibri"/>
          <w:b/>
          <w:bCs/>
          <w:color w:val="00B050"/>
        </w:rPr>
        <w:t xml:space="preserve"> DESENCADENANTES DE ESTRÉS EN EL MUNDO? </w:t>
      </w:r>
    </w:p>
    <w:p w14:paraId="0D03F7D0" w14:textId="6236CD14" w:rsidR="008B76E6" w:rsidRPr="008B76E6" w:rsidRDefault="008B76E6" w:rsidP="008B76E6">
      <w:pPr>
        <w:spacing w:before="240" w:after="240"/>
        <w:jc w:val="both"/>
        <w:rPr>
          <w:rFonts w:ascii="Calibri" w:eastAsia="Calibri" w:hAnsi="Calibri" w:cs="Calibri"/>
        </w:rPr>
      </w:pPr>
      <w:r w:rsidRPr="008B76E6">
        <w:rPr>
          <w:rFonts w:ascii="Calibri" w:eastAsia="Calibri" w:hAnsi="Calibri" w:cs="Calibri"/>
        </w:rPr>
        <w:t xml:space="preserve">En esta oportunidad, además de medir </w:t>
      </w:r>
      <w:r>
        <w:rPr>
          <w:rFonts w:ascii="Calibri" w:eastAsia="Calibri" w:hAnsi="Calibri" w:cs="Calibri"/>
        </w:rPr>
        <w:t xml:space="preserve">la frecuencia de estrés declarado, </w:t>
      </w:r>
      <w:r w:rsidRPr="008B76E6">
        <w:rPr>
          <w:rFonts w:ascii="Calibri" w:eastAsia="Calibri" w:hAnsi="Calibri" w:cs="Calibri"/>
        </w:rPr>
        <w:t xml:space="preserve">la encuesta profundizó en los factores que lo desencadenan. Los resultados son contundentes: </w:t>
      </w:r>
      <w:r w:rsidR="00DB1DF6" w:rsidRPr="00DB1DF6">
        <w:rPr>
          <w:rFonts w:ascii="Calibri" w:eastAsia="Calibri" w:hAnsi="Calibri" w:cs="Calibri"/>
          <w:b/>
          <w:bCs/>
        </w:rPr>
        <w:t>la falta de dinero</w:t>
      </w:r>
      <w:r w:rsidR="00DB1DF6">
        <w:rPr>
          <w:rFonts w:ascii="Calibri" w:eastAsia="Calibri" w:hAnsi="Calibri" w:cs="Calibri"/>
          <w:b/>
          <w:bCs/>
        </w:rPr>
        <w:t>/deudas</w:t>
      </w:r>
      <w:r w:rsidR="00DB1DF6">
        <w:rPr>
          <w:rFonts w:ascii="Calibri" w:eastAsia="Calibri" w:hAnsi="Calibri" w:cs="Calibri"/>
        </w:rPr>
        <w:t xml:space="preserve"> </w:t>
      </w:r>
      <w:r w:rsidRPr="008B76E6">
        <w:rPr>
          <w:rFonts w:ascii="Calibri" w:eastAsia="Calibri" w:hAnsi="Calibri" w:cs="Calibri"/>
          <w:b/>
          <w:bCs/>
        </w:rPr>
        <w:t>y el trabajo se posicionan como las principales fuentes de estrés a nivel mundial, seguidos de cerca por otras preocupaciones vinculadas con la vida personal y cotidiana.</w:t>
      </w:r>
    </w:p>
    <w:p w14:paraId="6C469624" w14:textId="43199CDF" w:rsidR="008B76E6" w:rsidRPr="008B76E6" w:rsidRDefault="008B76E6" w:rsidP="008B76E6">
      <w:pPr>
        <w:spacing w:before="240" w:after="240"/>
        <w:jc w:val="both"/>
        <w:rPr>
          <w:rFonts w:ascii="Calibri" w:eastAsia="Calibri" w:hAnsi="Calibri" w:cs="Calibri"/>
        </w:rPr>
      </w:pPr>
      <w:r w:rsidRPr="008B76E6">
        <w:rPr>
          <w:rFonts w:ascii="Calibri" w:eastAsia="Calibri" w:hAnsi="Calibri" w:cs="Calibri"/>
        </w:rPr>
        <w:t xml:space="preserve">Al pensar en la última vez que estuvieron realmente estresadas, </w:t>
      </w:r>
      <w:r w:rsidRPr="008B76E6">
        <w:rPr>
          <w:rFonts w:ascii="Calibri" w:eastAsia="Calibri" w:hAnsi="Calibri" w:cs="Calibri"/>
          <w:b/>
          <w:bCs/>
        </w:rPr>
        <w:t>el 32% de las personas señala la falta de dinero o las deudas como fuente de estrés</w:t>
      </w:r>
      <w:r w:rsidR="00DB1DF6">
        <w:rPr>
          <w:rFonts w:ascii="Calibri" w:eastAsia="Calibri" w:hAnsi="Calibri" w:cs="Calibri"/>
          <w:b/>
          <w:bCs/>
        </w:rPr>
        <w:t xml:space="preserve"> y</w:t>
      </w:r>
      <w:r w:rsidRPr="008B76E6">
        <w:rPr>
          <w:rFonts w:ascii="Calibri" w:eastAsia="Calibri" w:hAnsi="Calibri" w:cs="Calibri"/>
          <w:b/>
          <w:bCs/>
        </w:rPr>
        <w:t xml:space="preserve"> otro 32% menciona el trabajo. </w:t>
      </w:r>
      <w:r w:rsidRPr="008B76E6">
        <w:rPr>
          <w:rFonts w:ascii="Calibri" w:eastAsia="Calibri" w:hAnsi="Calibri" w:cs="Calibri"/>
        </w:rPr>
        <w:t>Le siguen</w:t>
      </w:r>
      <w:r w:rsidRPr="008B76E6">
        <w:rPr>
          <w:rFonts w:ascii="Calibri" w:eastAsia="Calibri" w:hAnsi="Calibri" w:cs="Calibri"/>
          <w:b/>
          <w:bCs/>
        </w:rPr>
        <w:t xml:space="preserve"> la familia</w:t>
      </w:r>
      <w:r w:rsidRPr="008B76E6">
        <w:rPr>
          <w:rFonts w:ascii="Calibri" w:eastAsia="Calibri" w:hAnsi="Calibri" w:cs="Calibri"/>
        </w:rPr>
        <w:t xml:space="preserve"> (29%) </w:t>
      </w:r>
      <w:r w:rsidRPr="008B76E6">
        <w:rPr>
          <w:rFonts w:ascii="Calibri" w:eastAsia="Calibri" w:hAnsi="Calibri" w:cs="Calibri"/>
          <w:b/>
          <w:bCs/>
        </w:rPr>
        <w:t>y la salud</w:t>
      </w:r>
      <w:r w:rsidRPr="008B76E6">
        <w:rPr>
          <w:rFonts w:ascii="Calibri" w:eastAsia="Calibri" w:hAnsi="Calibri" w:cs="Calibri"/>
        </w:rPr>
        <w:t xml:space="preserve"> (28%)</w:t>
      </w:r>
      <w:r w:rsidR="00F66AB7">
        <w:rPr>
          <w:rFonts w:ascii="Calibri" w:eastAsia="Calibri" w:hAnsi="Calibri" w:cs="Calibri"/>
        </w:rPr>
        <w:t xml:space="preserve"> y bastante por detrás cuestiones </w:t>
      </w:r>
      <w:r w:rsidRPr="008B76E6">
        <w:rPr>
          <w:rFonts w:ascii="Calibri" w:eastAsia="Calibri" w:hAnsi="Calibri" w:cs="Calibri"/>
        </w:rPr>
        <w:t>como la política nacional (18%), el desempleo (15%), las guerras en el mundo (14%), la política internacional o regional (11%), los desastres ambientales (9%) o el uso excesivo del celular y las redes sociales (9%).</w:t>
      </w:r>
    </w:p>
    <w:p w14:paraId="0000001E" w14:textId="45FA8877" w:rsidR="005B4244" w:rsidRDefault="00F66AB7" w:rsidP="008B76E6">
      <w:pPr>
        <w:spacing w:before="240" w:after="240"/>
        <w:jc w:val="both"/>
        <w:rPr>
          <w:rFonts w:ascii="Calibri" w:eastAsia="Calibri" w:hAnsi="Calibri" w:cs="Calibri"/>
        </w:rPr>
      </w:pPr>
      <w:r>
        <w:rPr>
          <w:rFonts w:ascii="Calibri" w:eastAsia="Calibri" w:hAnsi="Calibri" w:cs="Calibri"/>
        </w:rPr>
        <w:t xml:space="preserve">El estudio de WIN y Voices </w:t>
      </w:r>
      <w:r w:rsidR="008B76E6">
        <w:rPr>
          <w:rFonts w:ascii="Calibri" w:eastAsia="Calibri" w:hAnsi="Calibri" w:cs="Calibri"/>
        </w:rPr>
        <w:t xml:space="preserve">también </w:t>
      </w:r>
      <w:r>
        <w:rPr>
          <w:rFonts w:ascii="Calibri" w:eastAsia="Calibri" w:hAnsi="Calibri" w:cs="Calibri"/>
        </w:rPr>
        <w:t xml:space="preserve">muestra que </w:t>
      </w:r>
      <w:r>
        <w:rPr>
          <w:rFonts w:ascii="Calibri" w:eastAsia="Calibri" w:hAnsi="Calibri" w:cs="Calibri"/>
          <w:b/>
          <w:bCs/>
        </w:rPr>
        <w:t>los motivos de estrés cambian significativamente a lo largo de la vida.</w:t>
      </w:r>
      <w:r>
        <w:rPr>
          <w:rFonts w:ascii="Calibri" w:eastAsia="Calibri" w:hAnsi="Calibri" w:cs="Calibri"/>
        </w:rPr>
        <w:t xml:space="preserve"> </w:t>
      </w:r>
      <w:r>
        <w:rPr>
          <w:rFonts w:ascii="Calibri" w:eastAsia="Calibri" w:hAnsi="Calibri" w:cs="Calibri"/>
          <w:b/>
          <w:bCs/>
        </w:rPr>
        <w:t>Entre los más jóvenes predominan las preocupaciones económicas y laborales</w:t>
      </w:r>
      <w:r>
        <w:rPr>
          <w:rFonts w:ascii="Calibri" w:eastAsia="Calibri" w:hAnsi="Calibri" w:cs="Calibri"/>
        </w:rPr>
        <w:t xml:space="preserve">, </w:t>
      </w:r>
      <w:r>
        <w:rPr>
          <w:rFonts w:ascii="Calibri" w:eastAsia="Calibri" w:hAnsi="Calibri" w:cs="Calibri"/>
          <w:b/>
          <w:bCs/>
        </w:rPr>
        <w:t>y aparece con mucha más fuerza el impacto del uso del celular y las redes sociales</w:t>
      </w:r>
      <w:r>
        <w:rPr>
          <w:rFonts w:ascii="Calibri" w:eastAsia="Calibri" w:hAnsi="Calibri" w:cs="Calibri"/>
        </w:rPr>
        <w:t xml:space="preserve">: entre los jóvenes de 18 a 24 años, este último factor alcanza el 18%, muy por encima del resto de los grupos etarios. </w:t>
      </w:r>
      <w:r>
        <w:rPr>
          <w:rFonts w:ascii="Calibri" w:eastAsia="Calibri" w:hAnsi="Calibri" w:cs="Calibri"/>
          <w:b/>
          <w:bCs/>
        </w:rPr>
        <w:t>Entre los 35 y 54 años, el trabajo y el dinero continúan liderando, mientras las preocupaciones familiares adquieren mayor peso. A partir de los 55 años el escenario cambia: la salud pasa a ocupar el primer lugar</w:t>
      </w:r>
      <w:r>
        <w:rPr>
          <w:rFonts w:ascii="Calibri" w:eastAsia="Calibri" w:hAnsi="Calibri" w:cs="Calibri"/>
        </w:rPr>
        <w:t xml:space="preserve"> y, </w:t>
      </w:r>
      <w:r>
        <w:rPr>
          <w:rFonts w:ascii="Calibri" w:eastAsia="Calibri" w:hAnsi="Calibri" w:cs="Calibri"/>
          <w:b/>
          <w:bCs/>
        </w:rPr>
        <w:t>entre los mayores de 65, crece considerablemente la preocupación por la política nacional</w:t>
      </w:r>
      <w:r>
        <w:rPr>
          <w:rFonts w:ascii="Calibri" w:eastAsia="Calibri" w:hAnsi="Calibri" w:cs="Calibri"/>
        </w:rPr>
        <w:t xml:space="preserve"> (24%) </w:t>
      </w:r>
      <w:r>
        <w:rPr>
          <w:rFonts w:ascii="Calibri" w:eastAsia="Calibri" w:hAnsi="Calibri" w:cs="Calibri"/>
          <w:b/>
          <w:bCs/>
        </w:rPr>
        <w:t>y las guerras en el mundo</w:t>
      </w:r>
      <w:r>
        <w:rPr>
          <w:rFonts w:ascii="Calibri" w:eastAsia="Calibri" w:hAnsi="Calibri" w:cs="Calibri"/>
        </w:rPr>
        <w:t xml:space="preserve"> (22%), al tiempo que pierden relevancia el trabajo y el dinero.</w:t>
      </w:r>
    </w:p>
    <w:p w14:paraId="0000001F" w14:textId="4B099A7C" w:rsidR="005B4244" w:rsidRDefault="00000000">
      <w:pPr>
        <w:spacing w:before="240" w:after="240"/>
        <w:jc w:val="both"/>
        <w:rPr>
          <w:rFonts w:ascii="Calibri" w:eastAsia="Calibri" w:hAnsi="Calibri" w:cs="Calibri"/>
        </w:rPr>
      </w:pPr>
      <w:r>
        <w:rPr>
          <w:rFonts w:ascii="Calibri" w:eastAsia="Calibri" w:hAnsi="Calibri" w:cs="Calibri"/>
        </w:rPr>
        <w:t xml:space="preserve">También aparecen diferencias claras entre otros grupos de la población. </w:t>
      </w:r>
      <w:r>
        <w:rPr>
          <w:rFonts w:ascii="Calibri" w:eastAsia="Calibri" w:hAnsi="Calibri" w:cs="Calibri"/>
          <w:b/>
          <w:bCs/>
        </w:rPr>
        <w:t>Las mujeres mencionan en mayor medida que los hombres a la familia</w:t>
      </w:r>
      <w:r>
        <w:rPr>
          <w:rFonts w:ascii="Calibri" w:eastAsia="Calibri" w:hAnsi="Calibri" w:cs="Calibri"/>
        </w:rPr>
        <w:t xml:space="preserve"> (33% vs. 24%) </w:t>
      </w:r>
      <w:r>
        <w:rPr>
          <w:rFonts w:ascii="Calibri" w:eastAsia="Calibri" w:hAnsi="Calibri" w:cs="Calibri"/>
          <w:b/>
          <w:bCs/>
        </w:rPr>
        <w:t xml:space="preserve">y las dificultades económicas </w:t>
      </w:r>
      <w:r>
        <w:rPr>
          <w:rFonts w:ascii="Calibri" w:eastAsia="Calibri" w:hAnsi="Calibri" w:cs="Calibri"/>
        </w:rPr>
        <w:t xml:space="preserve">(34% vs. 29%) como fuentes de estrés, </w:t>
      </w:r>
      <w:r>
        <w:rPr>
          <w:rFonts w:ascii="Calibri" w:eastAsia="Calibri" w:hAnsi="Calibri" w:cs="Calibri"/>
          <w:b/>
          <w:bCs/>
        </w:rPr>
        <w:t xml:space="preserve">mientras que entre los hombres cobra mayor peso el </w:t>
      </w:r>
      <w:r w:rsidR="00F66AB7">
        <w:rPr>
          <w:rFonts w:ascii="Calibri" w:eastAsia="Calibri" w:hAnsi="Calibri" w:cs="Calibri"/>
          <w:b/>
          <w:bCs/>
        </w:rPr>
        <w:t xml:space="preserve">propio </w:t>
      </w:r>
      <w:r>
        <w:rPr>
          <w:rFonts w:ascii="Calibri" w:eastAsia="Calibri" w:hAnsi="Calibri" w:cs="Calibri"/>
          <w:b/>
          <w:bCs/>
        </w:rPr>
        <w:t>trabajo</w:t>
      </w:r>
      <w:r>
        <w:rPr>
          <w:rFonts w:ascii="Calibri" w:eastAsia="Calibri" w:hAnsi="Calibri" w:cs="Calibri"/>
        </w:rPr>
        <w:t xml:space="preserve"> (35% vs. 29%). </w:t>
      </w:r>
      <w:r w:rsidRPr="00E57AC5">
        <w:rPr>
          <w:rFonts w:ascii="Calibri" w:eastAsia="Calibri" w:hAnsi="Calibri" w:cs="Calibri"/>
        </w:rPr>
        <w:t xml:space="preserve">El nivel educativo también marca diferencias: </w:t>
      </w:r>
      <w:r>
        <w:rPr>
          <w:rFonts w:ascii="Calibri" w:eastAsia="Calibri" w:hAnsi="Calibri" w:cs="Calibri"/>
          <w:b/>
          <w:bCs/>
        </w:rPr>
        <w:t>a medida que aumenta, el trabajo gana protagonismo como factor de estrés, mientras que la falta de dinero y las deudas recorren el camino inverso</w:t>
      </w:r>
      <w:r w:rsidR="00E57AC5">
        <w:rPr>
          <w:rFonts w:ascii="Calibri" w:eastAsia="Calibri" w:hAnsi="Calibri" w:cs="Calibri"/>
        </w:rPr>
        <w:t xml:space="preserve">. </w:t>
      </w:r>
    </w:p>
    <w:p w14:paraId="527EC4C7" w14:textId="0B95FA65" w:rsidR="00E57AC5" w:rsidRPr="00F66AB7" w:rsidRDefault="00000000">
      <w:pPr>
        <w:spacing w:before="240" w:after="240"/>
        <w:jc w:val="both"/>
        <w:rPr>
          <w:rFonts w:ascii="Calibri" w:eastAsia="Calibri" w:hAnsi="Calibri" w:cs="Calibri"/>
          <w:b/>
          <w:bCs/>
        </w:rPr>
      </w:pPr>
      <w:r>
        <w:rPr>
          <w:rFonts w:ascii="Calibri" w:eastAsia="Calibri" w:hAnsi="Calibri" w:cs="Calibri"/>
        </w:rPr>
        <w:t xml:space="preserve">Al observar los resultados por países, el estudio muestra </w:t>
      </w:r>
      <w:r w:rsidR="00F66AB7">
        <w:rPr>
          <w:rFonts w:ascii="Calibri" w:eastAsia="Calibri" w:hAnsi="Calibri" w:cs="Calibri"/>
        </w:rPr>
        <w:t>que las</w:t>
      </w:r>
      <w:r>
        <w:rPr>
          <w:rFonts w:ascii="Calibri" w:eastAsia="Calibri" w:hAnsi="Calibri" w:cs="Calibri"/>
          <w:b/>
          <w:bCs/>
        </w:rPr>
        <w:t xml:space="preserve"> preocupaciones económicas adquieren </w:t>
      </w:r>
      <w:r w:rsidR="00F66AB7">
        <w:rPr>
          <w:rFonts w:ascii="Calibri" w:eastAsia="Calibri" w:hAnsi="Calibri" w:cs="Calibri"/>
          <w:b/>
          <w:bCs/>
        </w:rPr>
        <w:t>especial r</w:t>
      </w:r>
      <w:r>
        <w:rPr>
          <w:rFonts w:ascii="Calibri" w:eastAsia="Calibri" w:hAnsi="Calibri" w:cs="Calibri"/>
          <w:b/>
          <w:bCs/>
        </w:rPr>
        <w:t xml:space="preserve">elevancia </w:t>
      </w:r>
      <w:r w:rsidR="00F66AB7">
        <w:rPr>
          <w:rFonts w:ascii="Calibri" w:eastAsia="Calibri" w:hAnsi="Calibri" w:cs="Calibri"/>
          <w:b/>
          <w:bCs/>
        </w:rPr>
        <w:t>e</w:t>
      </w:r>
      <w:r>
        <w:rPr>
          <w:rFonts w:ascii="Calibri" w:eastAsia="Calibri" w:hAnsi="Calibri" w:cs="Calibri"/>
          <w:b/>
          <w:bCs/>
        </w:rPr>
        <w:t>n</w:t>
      </w:r>
      <w:r w:rsidR="00E57AC5">
        <w:rPr>
          <w:rFonts w:ascii="Calibri" w:eastAsia="Calibri" w:hAnsi="Calibri" w:cs="Calibri"/>
          <w:b/>
          <w:bCs/>
        </w:rPr>
        <w:t xml:space="preserve"> </w:t>
      </w:r>
      <w:r w:rsidR="00F66AB7">
        <w:rPr>
          <w:rFonts w:ascii="Calibri" w:eastAsia="Calibri" w:hAnsi="Calibri" w:cs="Calibri"/>
          <w:b/>
          <w:bCs/>
        </w:rPr>
        <w:t>nuestra región,</w:t>
      </w:r>
      <w:r w:rsidR="00F66AB7" w:rsidRPr="00F66AB7">
        <w:rPr>
          <w:rFonts w:ascii="Calibri" w:eastAsia="Calibri" w:hAnsi="Calibri" w:cs="Calibri"/>
        </w:rPr>
        <w:t xml:space="preserve"> en un contexto marcado por una coyuntura económica particularmente compleja.</w:t>
      </w:r>
      <w:r w:rsidR="00F66AB7">
        <w:rPr>
          <w:rFonts w:ascii="Calibri" w:eastAsia="Calibri" w:hAnsi="Calibri" w:cs="Calibri"/>
          <w:b/>
          <w:bCs/>
        </w:rPr>
        <w:t xml:space="preserve"> </w:t>
      </w:r>
      <w:r>
        <w:rPr>
          <w:rFonts w:ascii="Calibri" w:eastAsia="Calibri" w:hAnsi="Calibri" w:cs="Calibri"/>
        </w:rPr>
        <w:t xml:space="preserve">El </w:t>
      </w:r>
      <w:r>
        <w:rPr>
          <w:rFonts w:ascii="Calibri" w:eastAsia="Calibri" w:hAnsi="Calibri" w:cs="Calibri"/>
          <w:b/>
          <w:bCs/>
        </w:rPr>
        <w:t>54% de los argentinos menciona la falta de dinero o las deudas como fuente de estrés</w:t>
      </w:r>
      <w:r w:rsidR="00F66AB7">
        <w:rPr>
          <w:rFonts w:ascii="Calibri" w:eastAsia="Calibri" w:hAnsi="Calibri" w:cs="Calibri"/>
        </w:rPr>
        <w:t>, seguido de cerca por</w:t>
      </w:r>
      <w:r>
        <w:rPr>
          <w:rFonts w:ascii="Calibri" w:eastAsia="Calibri" w:hAnsi="Calibri" w:cs="Calibri"/>
        </w:rPr>
        <w:t xml:space="preserve"> </w:t>
      </w:r>
      <w:r>
        <w:rPr>
          <w:rFonts w:ascii="Calibri" w:eastAsia="Calibri" w:hAnsi="Calibri" w:cs="Calibri"/>
          <w:b/>
          <w:bCs/>
        </w:rPr>
        <w:t xml:space="preserve">México </w:t>
      </w:r>
      <w:r>
        <w:rPr>
          <w:rFonts w:ascii="Calibri" w:eastAsia="Calibri" w:hAnsi="Calibri" w:cs="Calibri"/>
        </w:rPr>
        <w:t xml:space="preserve">(53%) </w:t>
      </w:r>
      <w:r>
        <w:rPr>
          <w:rFonts w:ascii="Calibri" w:eastAsia="Calibri" w:hAnsi="Calibri" w:cs="Calibri"/>
          <w:b/>
          <w:bCs/>
        </w:rPr>
        <w:t>y Chile</w:t>
      </w:r>
      <w:r>
        <w:rPr>
          <w:rFonts w:ascii="Calibri" w:eastAsia="Calibri" w:hAnsi="Calibri" w:cs="Calibri"/>
        </w:rPr>
        <w:t xml:space="preserve"> (52%), y algo más abajo</w:t>
      </w:r>
      <w:r w:rsidR="00F66AB7">
        <w:rPr>
          <w:rFonts w:ascii="Calibri" w:eastAsia="Calibri" w:hAnsi="Calibri" w:cs="Calibri"/>
        </w:rPr>
        <w:t xml:space="preserve"> aparece</w:t>
      </w:r>
      <w:r>
        <w:rPr>
          <w:rFonts w:ascii="Calibri" w:eastAsia="Calibri" w:hAnsi="Calibri" w:cs="Calibri"/>
          <w:b/>
          <w:bCs/>
        </w:rPr>
        <w:t xml:space="preserve"> Ecuador </w:t>
      </w:r>
      <w:r>
        <w:rPr>
          <w:rFonts w:ascii="Calibri" w:eastAsia="Calibri" w:hAnsi="Calibri" w:cs="Calibri"/>
        </w:rPr>
        <w:t>(49%)</w:t>
      </w:r>
      <w:r w:rsidR="00F66AB7">
        <w:rPr>
          <w:rFonts w:ascii="Calibri" w:eastAsia="Calibri" w:hAnsi="Calibri" w:cs="Calibri"/>
        </w:rPr>
        <w:t>,</w:t>
      </w:r>
      <w:r>
        <w:rPr>
          <w:rFonts w:ascii="Calibri" w:eastAsia="Calibri" w:hAnsi="Calibri" w:cs="Calibri"/>
        </w:rPr>
        <w:t xml:space="preserve"> </w:t>
      </w:r>
      <w:r>
        <w:rPr>
          <w:rFonts w:ascii="Calibri" w:eastAsia="Calibri" w:hAnsi="Calibri" w:cs="Calibri"/>
          <w:b/>
          <w:bCs/>
        </w:rPr>
        <w:t xml:space="preserve">Venezuela, Brasil </w:t>
      </w:r>
      <w:r w:rsidRPr="00F66AB7">
        <w:rPr>
          <w:rFonts w:ascii="Calibri" w:eastAsia="Calibri" w:hAnsi="Calibri" w:cs="Calibri"/>
        </w:rPr>
        <w:t>(43</w:t>
      </w:r>
      <w:r>
        <w:rPr>
          <w:rFonts w:ascii="Calibri" w:eastAsia="Calibri" w:hAnsi="Calibri" w:cs="Calibri"/>
        </w:rPr>
        <w:t xml:space="preserve">% cada uno) y </w:t>
      </w:r>
      <w:r>
        <w:rPr>
          <w:rFonts w:ascii="Calibri" w:eastAsia="Calibri" w:hAnsi="Calibri" w:cs="Calibri"/>
          <w:b/>
          <w:bCs/>
        </w:rPr>
        <w:t>Colombia</w:t>
      </w:r>
      <w:r>
        <w:rPr>
          <w:rFonts w:ascii="Calibri" w:eastAsia="Calibri" w:hAnsi="Calibri" w:cs="Calibri"/>
        </w:rPr>
        <w:t xml:space="preserve"> (42%)</w:t>
      </w:r>
      <w:r w:rsidR="00F66AB7">
        <w:rPr>
          <w:rFonts w:ascii="Calibri" w:eastAsia="Calibri" w:hAnsi="Calibri" w:cs="Calibri"/>
        </w:rPr>
        <w:t>.</w:t>
      </w:r>
    </w:p>
    <w:p w14:paraId="5E500FA0" w14:textId="3F5717B3" w:rsidR="00E57AC5" w:rsidRDefault="00E57AC5">
      <w:pPr>
        <w:spacing w:before="240" w:after="240"/>
        <w:jc w:val="both"/>
        <w:rPr>
          <w:rFonts w:ascii="Calibri" w:eastAsia="Calibri" w:hAnsi="Calibri" w:cs="Calibri"/>
        </w:rPr>
      </w:pPr>
      <w:r>
        <w:rPr>
          <w:rFonts w:ascii="Calibri" w:eastAsia="Calibri" w:hAnsi="Calibri" w:cs="Calibri"/>
        </w:rPr>
        <w:t xml:space="preserve">Otros países como </w:t>
      </w:r>
      <w:r w:rsidRPr="00E57AC5">
        <w:rPr>
          <w:rFonts w:ascii="Calibri" w:eastAsia="Calibri" w:hAnsi="Calibri" w:cs="Calibri"/>
          <w:b/>
          <w:bCs/>
        </w:rPr>
        <w:t>Indonesia</w:t>
      </w:r>
      <w:r>
        <w:rPr>
          <w:rFonts w:ascii="Calibri" w:eastAsia="Calibri" w:hAnsi="Calibri" w:cs="Calibri"/>
        </w:rPr>
        <w:t xml:space="preserve"> (51%),</w:t>
      </w:r>
      <w:r w:rsidRPr="00E57AC5">
        <w:rPr>
          <w:rFonts w:ascii="Calibri" w:eastAsia="Calibri" w:hAnsi="Calibri" w:cs="Calibri"/>
          <w:b/>
          <w:bCs/>
        </w:rPr>
        <w:t xml:space="preserve"> Grecia</w:t>
      </w:r>
      <w:r>
        <w:rPr>
          <w:rFonts w:ascii="Calibri" w:eastAsia="Calibri" w:hAnsi="Calibri" w:cs="Calibri"/>
        </w:rPr>
        <w:t xml:space="preserve"> (50%), </w:t>
      </w:r>
      <w:r w:rsidRPr="00E57AC5">
        <w:rPr>
          <w:rFonts w:ascii="Calibri" w:eastAsia="Calibri" w:hAnsi="Calibri" w:cs="Calibri"/>
          <w:b/>
          <w:bCs/>
        </w:rPr>
        <w:t>Estados Unidos</w:t>
      </w:r>
      <w:r>
        <w:rPr>
          <w:rFonts w:ascii="Calibri" w:eastAsia="Calibri" w:hAnsi="Calibri" w:cs="Calibri"/>
        </w:rPr>
        <w:t xml:space="preserve"> (48%) y </w:t>
      </w:r>
      <w:r w:rsidRPr="00E57AC5">
        <w:rPr>
          <w:rFonts w:ascii="Calibri" w:eastAsia="Calibri" w:hAnsi="Calibri" w:cs="Calibri"/>
          <w:b/>
          <w:bCs/>
        </w:rPr>
        <w:t>Costa de Marfil</w:t>
      </w:r>
      <w:r>
        <w:rPr>
          <w:rFonts w:ascii="Calibri" w:eastAsia="Calibri" w:hAnsi="Calibri" w:cs="Calibri"/>
        </w:rPr>
        <w:t xml:space="preserve"> (46%), también se ubican por encima de la media global en la atribución del estrés a la falta de dinero y las deudas. </w:t>
      </w:r>
    </w:p>
    <w:p w14:paraId="00000025" w14:textId="77777777" w:rsidR="005B4244" w:rsidRDefault="00000000">
      <w:pPr>
        <w:spacing w:before="240" w:after="240"/>
        <w:jc w:val="both"/>
        <w:rPr>
          <w:rFonts w:ascii="Calibri" w:eastAsia="Calibri" w:hAnsi="Calibri" w:cs="Calibri"/>
        </w:rPr>
      </w:pPr>
      <w:r>
        <w:rPr>
          <w:rFonts w:ascii="Calibri" w:eastAsia="Calibri" w:hAnsi="Calibri" w:cs="Calibri"/>
          <w:noProof/>
        </w:rPr>
        <w:lastRenderedPageBreak/>
        <w:drawing>
          <wp:inline distT="0" distB="0" distL="0" distR="0" wp14:anchorId="08E6E9CE" wp14:editId="3879D16C">
            <wp:extent cx="6953250" cy="4582633"/>
            <wp:effectExtent l="0" t="0" r="0" b="8890"/>
            <wp:docPr id="2063848316" name="Gráfico 2063848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9DE66D" w14:textId="3B9DC933" w:rsidR="00E57AC5" w:rsidRDefault="00E57AC5" w:rsidP="00E57AC5">
      <w:pPr>
        <w:spacing w:before="240" w:after="240"/>
        <w:jc w:val="center"/>
        <w:rPr>
          <w:rFonts w:ascii="Calibri" w:eastAsia="Calibri" w:hAnsi="Calibri" w:cs="Calibri"/>
        </w:rPr>
      </w:pPr>
      <w:r>
        <w:rPr>
          <w:rFonts w:ascii="Calibri" w:eastAsia="Calibri" w:hAnsi="Calibri" w:cs="Calibri"/>
        </w:rPr>
        <w:t>Fuente: WIN Voices! en Argentina</w:t>
      </w:r>
    </w:p>
    <w:p w14:paraId="00000028" w14:textId="77777777" w:rsidR="005B4244" w:rsidRDefault="005B4244">
      <w:pPr>
        <w:spacing w:before="240" w:after="240"/>
        <w:jc w:val="both"/>
        <w:rPr>
          <w:rFonts w:ascii="Calibri" w:eastAsia="Calibri" w:hAnsi="Calibri" w:cs="Calibri"/>
          <w:b/>
          <w:bCs/>
        </w:rPr>
      </w:pPr>
    </w:p>
    <w:p w14:paraId="00000029" w14:textId="6FB0A171" w:rsidR="005B4244" w:rsidRPr="00E57AC5" w:rsidRDefault="00000000">
      <w:pPr>
        <w:spacing w:before="240" w:after="240"/>
        <w:jc w:val="both"/>
        <w:rPr>
          <w:rFonts w:ascii="Calibri" w:eastAsia="Calibri" w:hAnsi="Calibri" w:cs="Calibri"/>
          <w:b/>
          <w:bCs/>
          <w:color w:val="00B050"/>
        </w:rPr>
      </w:pPr>
      <w:r w:rsidRPr="00E57AC5">
        <w:rPr>
          <w:rFonts w:ascii="Calibri" w:eastAsia="Calibri" w:hAnsi="Calibri" w:cs="Calibri"/>
          <w:b/>
          <w:bCs/>
          <w:color w:val="00B050"/>
        </w:rPr>
        <w:t>¿</w:t>
      </w:r>
      <w:r w:rsidR="00E57AC5" w:rsidRPr="00E57AC5">
        <w:rPr>
          <w:rFonts w:ascii="Calibri" w:eastAsia="Calibri" w:hAnsi="Calibri" w:cs="Calibri"/>
          <w:b/>
          <w:bCs/>
          <w:color w:val="00B050"/>
        </w:rPr>
        <w:t xml:space="preserve">QUÉ OTROS FACTORES </w:t>
      </w:r>
      <w:r w:rsidR="00E57AC5">
        <w:rPr>
          <w:rFonts w:ascii="Calibri" w:eastAsia="Calibri" w:hAnsi="Calibri" w:cs="Calibri"/>
          <w:b/>
          <w:bCs/>
          <w:color w:val="00B050"/>
        </w:rPr>
        <w:t>ESTRESAN CON FRECUENCIA A LOS ARGENTINOS</w:t>
      </w:r>
      <w:r w:rsidRPr="00E57AC5">
        <w:rPr>
          <w:rFonts w:ascii="Calibri" w:eastAsia="Calibri" w:hAnsi="Calibri" w:cs="Calibri"/>
          <w:b/>
          <w:bCs/>
          <w:color w:val="00B050"/>
        </w:rPr>
        <w:t>?</w:t>
      </w:r>
    </w:p>
    <w:p w14:paraId="5AC5D25A" w14:textId="656685B2" w:rsidR="00773A5C" w:rsidRPr="00FB1326" w:rsidRDefault="00773A5C">
      <w:pPr>
        <w:spacing w:before="240" w:after="240"/>
        <w:jc w:val="both"/>
        <w:rPr>
          <w:rFonts w:ascii="Calibri" w:eastAsia="Calibri" w:hAnsi="Calibri" w:cs="Calibri"/>
        </w:rPr>
      </w:pPr>
      <w:r w:rsidRPr="00773A5C">
        <w:rPr>
          <w:rFonts w:ascii="Calibri" w:eastAsia="Calibri" w:hAnsi="Calibri" w:cs="Calibri"/>
        </w:rPr>
        <w:t xml:space="preserve">Mientras que a nivel mundial las preocupaciones económicas comparten el primer lugar con el trabajo, </w:t>
      </w:r>
      <w:r w:rsidRPr="00773A5C">
        <w:rPr>
          <w:rFonts w:ascii="Calibri" w:eastAsia="Calibri" w:hAnsi="Calibri" w:cs="Calibri"/>
          <w:b/>
          <w:bCs/>
        </w:rPr>
        <w:t xml:space="preserve">en Argentina el dinero se distancia notablemente del resto de los factores. </w:t>
      </w:r>
      <w:r w:rsidRPr="00773A5C">
        <w:rPr>
          <w:rFonts w:ascii="Calibri" w:eastAsia="Calibri" w:hAnsi="Calibri" w:cs="Calibri"/>
        </w:rPr>
        <w:t>La falta de dinero y las deudas se posicionan como la principal fuente de estrés, con un 54% de menciones.</w:t>
      </w:r>
      <w:r w:rsidRPr="00773A5C">
        <w:rPr>
          <w:rFonts w:ascii="Calibri" w:eastAsia="Calibri" w:hAnsi="Calibri" w:cs="Calibri"/>
          <w:b/>
          <w:bCs/>
        </w:rPr>
        <w:t xml:space="preserve"> El desempleo y el </w:t>
      </w:r>
      <w:r>
        <w:rPr>
          <w:rFonts w:ascii="Calibri" w:eastAsia="Calibri" w:hAnsi="Calibri" w:cs="Calibri"/>
          <w:b/>
          <w:bCs/>
        </w:rPr>
        <w:t xml:space="preserve">propio </w:t>
      </w:r>
      <w:r w:rsidRPr="00773A5C">
        <w:rPr>
          <w:rFonts w:ascii="Calibri" w:eastAsia="Calibri" w:hAnsi="Calibri" w:cs="Calibri"/>
          <w:b/>
          <w:bCs/>
        </w:rPr>
        <w:t xml:space="preserve">trabajo aparecen bastante por detrás, aunque mantienen un peso considerable </w:t>
      </w:r>
      <w:r w:rsidRPr="00773A5C">
        <w:rPr>
          <w:rFonts w:ascii="Calibri" w:eastAsia="Calibri" w:hAnsi="Calibri" w:cs="Calibri"/>
        </w:rPr>
        <w:t>(32% y 28%, respectivamente)</w:t>
      </w:r>
      <w:r w:rsidR="00CC15C7">
        <w:rPr>
          <w:rFonts w:ascii="Calibri" w:eastAsia="Calibri" w:hAnsi="Calibri" w:cs="Calibri"/>
        </w:rPr>
        <w:t xml:space="preserve">. </w:t>
      </w:r>
    </w:p>
    <w:p w14:paraId="614B11DB" w14:textId="073E2A23" w:rsidR="00112088" w:rsidRDefault="00000000">
      <w:pPr>
        <w:spacing w:before="240" w:after="240"/>
        <w:jc w:val="both"/>
        <w:rPr>
          <w:rFonts w:ascii="Calibri" w:eastAsia="Calibri" w:hAnsi="Calibri" w:cs="Calibri"/>
        </w:rPr>
      </w:pPr>
      <w:r w:rsidRPr="00FB1326">
        <w:rPr>
          <w:rFonts w:ascii="Calibri" w:eastAsia="Calibri" w:hAnsi="Calibri" w:cs="Calibri"/>
        </w:rPr>
        <w:t xml:space="preserve">Por el contrario, </w:t>
      </w:r>
      <w:r w:rsidRPr="00FB1326">
        <w:rPr>
          <w:rFonts w:ascii="Calibri" w:eastAsia="Calibri" w:hAnsi="Calibri" w:cs="Calibri"/>
          <w:b/>
          <w:bCs/>
        </w:rPr>
        <w:t>las preocupaciones vinculadas con la salu</w:t>
      </w:r>
      <w:r w:rsidR="00C42B33">
        <w:rPr>
          <w:rFonts w:ascii="Calibri" w:eastAsia="Calibri" w:hAnsi="Calibri" w:cs="Calibri"/>
          <w:b/>
          <w:bCs/>
        </w:rPr>
        <w:t xml:space="preserve">d, la política global/regional </w:t>
      </w:r>
      <w:r w:rsidR="002C3C2D" w:rsidRPr="00FB1326">
        <w:rPr>
          <w:rFonts w:ascii="Calibri" w:eastAsia="Calibri" w:hAnsi="Calibri" w:cs="Calibri"/>
          <w:b/>
          <w:bCs/>
        </w:rPr>
        <w:t>y las guerras alrededor del mundo</w:t>
      </w:r>
      <w:r w:rsidRPr="00FB1326">
        <w:rPr>
          <w:rFonts w:ascii="Calibri" w:eastAsia="Calibri" w:hAnsi="Calibri" w:cs="Calibri"/>
          <w:b/>
          <w:bCs/>
        </w:rPr>
        <w:t xml:space="preserve"> tienen menor incidencia en Argentina que en el promedio</w:t>
      </w:r>
      <w:r w:rsidRPr="00FB1326">
        <w:rPr>
          <w:rFonts w:ascii="Calibri" w:eastAsia="Calibri" w:hAnsi="Calibri" w:cs="Calibri"/>
        </w:rPr>
        <w:t xml:space="preserve"> </w:t>
      </w:r>
      <w:r w:rsidRPr="00FB1326">
        <w:rPr>
          <w:rFonts w:ascii="Calibri" w:eastAsia="Calibri" w:hAnsi="Calibri" w:cs="Calibri"/>
          <w:b/>
          <w:bCs/>
        </w:rPr>
        <w:t>mundial.</w:t>
      </w:r>
      <w:r w:rsidRPr="00FB1326">
        <w:rPr>
          <w:rFonts w:ascii="Calibri" w:eastAsia="Calibri" w:hAnsi="Calibri" w:cs="Calibri"/>
        </w:rPr>
        <w:t xml:space="preserve"> La salud es mencionada por el 20% de los argentinos frente al 28% global</w:t>
      </w:r>
      <w:r w:rsidR="00C42B33">
        <w:rPr>
          <w:rFonts w:ascii="Calibri" w:eastAsia="Calibri" w:hAnsi="Calibri" w:cs="Calibri"/>
        </w:rPr>
        <w:t>, la política global/regional 7% vs 11%</w:t>
      </w:r>
      <w:r w:rsidR="002C3C2D" w:rsidRPr="00FB1326">
        <w:rPr>
          <w:rFonts w:ascii="Calibri" w:eastAsia="Calibri" w:hAnsi="Calibri" w:cs="Calibri"/>
        </w:rPr>
        <w:t xml:space="preserve"> y las guerras 9</w:t>
      </w:r>
      <w:r w:rsidR="002C3C2D" w:rsidRPr="00CC15C7">
        <w:rPr>
          <w:rFonts w:ascii="Calibri" w:eastAsia="Calibri" w:hAnsi="Calibri" w:cs="Calibri"/>
        </w:rPr>
        <w:t>% vs 14%</w:t>
      </w:r>
      <w:r w:rsidRPr="00CC15C7">
        <w:rPr>
          <w:rFonts w:ascii="Calibri" w:eastAsia="Calibri" w:hAnsi="Calibri" w:cs="Calibri"/>
        </w:rPr>
        <w:t xml:space="preserve">. </w:t>
      </w:r>
      <w:r w:rsidR="00CC15C7">
        <w:rPr>
          <w:rFonts w:ascii="Calibri" w:eastAsia="Calibri" w:hAnsi="Calibri" w:cs="Calibri"/>
        </w:rPr>
        <w:t>L</w:t>
      </w:r>
      <w:r>
        <w:rPr>
          <w:rFonts w:ascii="Calibri" w:eastAsia="Calibri" w:hAnsi="Calibri" w:cs="Calibri"/>
        </w:rPr>
        <w:t>os desastres ambientales y el uso excesivo del celular aparecen entre las fuentes de estrés menos mencionada</w:t>
      </w:r>
      <w:r w:rsidR="00773A5C">
        <w:rPr>
          <w:rFonts w:ascii="Calibri" w:eastAsia="Calibri" w:hAnsi="Calibri" w:cs="Calibri"/>
        </w:rPr>
        <w:t xml:space="preserve">s en ambos casos. </w:t>
      </w:r>
    </w:p>
    <w:p w14:paraId="088C1F5D" w14:textId="77777777" w:rsidR="00384AC7" w:rsidRDefault="00384AC7">
      <w:pPr>
        <w:spacing w:before="240" w:after="240"/>
        <w:jc w:val="both"/>
        <w:rPr>
          <w:rFonts w:ascii="Calibri" w:eastAsia="Calibri" w:hAnsi="Calibri" w:cs="Calibri"/>
        </w:rPr>
      </w:pPr>
    </w:p>
    <w:p w14:paraId="7DC7EA4A" w14:textId="77777777" w:rsidR="00CC15C7" w:rsidRDefault="00CC15C7">
      <w:pPr>
        <w:spacing w:before="240" w:after="240"/>
        <w:jc w:val="both"/>
        <w:rPr>
          <w:rFonts w:ascii="Calibri" w:eastAsia="Calibri" w:hAnsi="Calibri" w:cs="Calibri"/>
        </w:rPr>
      </w:pPr>
    </w:p>
    <w:p w14:paraId="3133D1A5" w14:textId="77777777" w:rsidR="00384AC7" w:rsidRDefault="00384AC7">
      <w:pPr>
        <w:spacing w:before="240" w:after="240"/>
        <w:jc w:val="both"/>
        <w:rPr>
          <w:rFonts w:ascii="Calibri" w:eastAsia="Calibri" w:hAnsi="Calibri" w:cs="Calibri"/>
        </w:rPr>
      </w:pPr>
    </w:p>
    <w:p w14:paraId="0000002E" w14:textId="77777777" w:rsidR="005B4244" w:rsidRDefault="00000000">
      <w:pPr>
        <w:jc w:val="center"/>
        <w:rPr>
          <w:rFonts w:ascii="Calibri" w:eastAsia="Calibri" w:hAnsi="Calibri" w:cs="Calibri"/>
          <w:b/>
          <w:bCs/>
          <w:i/>
          <w:iCs/>
        </w:rPr>
      </w:pPr>
      <w:r>
        <w:rPr>
          <w:rFonts w:ascii="Calibri" w:eastAsia="Calibri" w:hAnsi="Calibri" w:cs="Calibri"/>
          <w:b/>
          <w:bCs/>
          <w:i/>
          <w:iCs/>
        </w:rPr>
        <w:lastRenderedPageBreak/>
        <w:t>“Pensando en la última vez que estuvo realmente estresado, ¿qué fue lo que le estresó?”</w:t>
      </w:r>
    </w:p>
    <w:p w14:paraId="1C7D5E9C" w14:textId="3F2F783F" w:rsidR="00112088" w:rsidRDefault="00000000" w:rsidP="00F66AB7">
      <w:pPr>
        <w:spacing w:before="240" w:after="240"/>
        <w:jc w:val="center"/>
        <w:rPr>
          <w:rFonts w:ascii="Calibri" w:eastAsia="Calibri" w:hAnsi="Calibri" w:cs="Calibri"/>
          <w:b/>
          <w:bCs/>
        </w:rPr>
      </w:pPr>
      <w:r>
        <w:rPr>
          <w:rFonts w:ascii="Calibri" w:eastAsia="Calibri" w:hAnsi="Calibri" w:cs="Calibri"/>
          <w:b/>
          <w:bCs/>
          <w:noProof/>
          <w:sz w:val="16"/>
          <w:szCs w:val="16"/>
        </w:rPr>
        <w:drawing>
          <wp:inline distT="0" distB="0" distL="0" distR="0" wp14:anchorId="40E7BE5B" wp14:editId="64089299">
            <wp:extent cx="6257925" cy="3733800"/>
            <wp:effectExtent l="0" t="0" r="0" b="0"/>
            <wp:docPr id="2063848315" name="Gráfico 2063848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F9F5C50" w14:textId="77777777" w:rsidR="00F66AB7" w:rsidRPr="00F66AB7" w:rsidRDefault="00F66AB7" w:rsidP="00C42B33">
      <w:pPr>
        <w:spacing w:before="240" w:after="240"/>
        <w:rPr>
          <w:rFonts w:ascii="Calibri" w:eastAsia="Calibri" w:hAnsi="Calibri" w:cs="Calibri"/>
          <w:b/>
          <w:bCs/>
        </w:rPr>
      </w:pPr>
    </w:p>
    <w:p w14:paraId="204BA4E9" w14:textId="0B3515A8" w:rsidR="00112088" w:rsidRDefault="00000000" w:rsidP="00F66AB7">
      <w:pPr>
        <w:jc w:val="center"/>
        <w:rPr>
          <w:rFonts w:ascii="Calibri" w:eastAsia="Calibri" w:hAnsi="Calibri" w:cs="Calibri"/>
        </w:rPr>
      </w:pPr>
      <w:r>
        <w:rPr>
          <w:rFonts w:ascii="Calibri" w:eastAsia="Calibri" w:hAnsi="Calibri" w:cs="Calibri"/>
        </w:rPr>
        <w:t>Fuente: WIN Voices! en Argentina</w:t>
      </w:r>
    </w:p>
    <w:p w14:paraId="4084BC10" w14:textId="77777777" w:rsidR="00F66AB7" w:rsidRDefault="00F66AB7" w:rsidP="00F66AB7">
      <w:pPr>
        <w:jc w:val="center"/>
        <w:rPr>
          <w:rFonts w:ascii="Calibri" w:eastAsia="Calibri" w:hAnsi="Calibri" w:cs="Calibri"/>
        </w:rPr>
      </w:pPr>
    </w:p>
    <w:p w14:paraId="251BA5CF" w14:textId="77B033DE" w:rsidR="00A55B23" w:rsidRPr="00A55B23" w:rsidRDefault="00A55B23" w:rsidP="00A55B23">
      <w:pPr>
        <w:spacing w:before="240" w:after="240"/>
        <w:jc w:val="both"/>
        <w:rPr>
          <w:rFonts w:ascii="Calibri" w:eastAsia="Calibri" w:hAnsi="Calibri" w:cs="Calibri"/>
        </w:rPr>
      </w:pPr>
      <w:r w:rsidRPr="00EE4863">
        <w:rPr>
          <w:rFonts w:ascii="Calibri" w:eastAsia="Calibri" w:hAnsi="Calibri" w:cs="Calibri"/>
        </w:rPr>
        <w:t xml:space="preserve">En Argentina, </w:t>
      </w:r>
      <w:r w:rsidR="007D64CA">
        <w:rPr>
          <w:rFonts w:ascii="Calibri" w:eastAsia="Calibri" w:hAnsi="Calibri" w:cs="Calibri"/>
        </w:rPr>
        <w:t xml:space="preserve">los motivos de </w:t>
      </w:r>
      <w:r w:rsidRPr="00EE4863">
        <w:rPr>
          <w:rFonts w:ascii="Calibri" w:eastAsia="Calibri" w:hAnsi="Calibri" w:cs="Calibri"/>
        </w:rPr>
        <w:t xml:space="preserve">estrés también varían entre los distintos grupos sociodemográficos. </w:t>
      </w:r>
      <w:r w:rsidR="00384AC7">
        <w:rPr>
          <w:rFonts w:ascii="Calibri" w:eastAsia="Calibri" w:hAnsi="Calibri" w:cs="Calibri"/>
          <w:b/>
          <w:bCs/>
        </w:rPr>
        <w:t>L</w:t>
      </w:r>
      <w:r w:rsidRPr="00A55B23">
        <w:rPr>
          <w:rFonts w:ascii="Calibri" w:eastAsia="Calibri" w:hAnsi="Calibri" w:cs="Calibri"/>
          <w:b/>
          <w:bCs/>
        </w:rPr>
        <w:t>as mujeres mencionan en mayor medida que los hombres la falta de dinero y las deudas</w:t>
      </w:r>
      <w:r w:rsidRPr="00A55B23">
        <w:rPr>
          <w:rFonts w:ascii="Calibri" w:eastAsia="Calibri" w:hAnsi="Calibri" w:cs="Calibri"/>
        </w:rPr>
        <w:t xml:space="preserve"> (59% vs. 48%), </w:t>
      </w:r>
      <w:r w:rsidRPr="00A55B23">
        <w:rPr>
          <w:rFonts w:ascii="Calibri" w:eastAsia="Calibri" w:hAnsi="Calibri" w:cs="Calibri"/>
          <w:b/>
          <w:bCs/>
        </w:rPr>
        <w:t>la familia</w:t>
      </w:r>
      <w:r w:rsidRPr="00A55B23">
        <w:rPr>
          <w:rFonts w:ascii="Calibri" w:eastAsia="Calibri" w:hAnsi="Calibri" w:cs="Calibri"/>
        </w:rPr>
        <w:t xml:space="preserve"> (31% vs. 20%) </w:t>
      </w:r>
      <w:r w:rsidRPr="00A55B23">
        <w:rPr>
          <w:rFonts w:ascii="Calibri" w:eastAsia="Calibri" w:hAnsi="Calibri" w:cs="Calibri"/>
          <w:b/>
          <w:bCs/>
        </w:rPr>
        <w:t>y la salud</w:t>
      </w:r>
      <w:r w:rsidRPr="00A55B23">
        <w:rPr>
          <w:rFonts w:ascii="Calibri" w:eastAsia="Calibri" w:hAnsi="Calibri" w:cs="Calibri"/>
        </w:rPr>
        <w:t xml:space="preserve"> (23% vs. 17%). Entre los hombres, en cambio, </w:t>
      </w:r>
      <w:r w:rsidRPr="00A55B23">
        <w:rPr>
          <w:rFonts w:ascii="Calibri" w:eastAsia="Calibri" w:hAnsi="Calibri" w:cs="Calibri"/>
          <w:b/>
          <w:bCs/>
        </w:rPr>
        <w:t>el trabajo adquiere mayor peso como fuente de estrés</w:t>
      </w:r>
      <w:r w:rsidRPr="00A55B23">
        <w:rPr>
          <w:rFonts w:ascii="Calibri" w:eastAsia="Calibri" w:hAnsi="Calibri" w:cs="Calibri"/>
        </w:rPr>
        <w:t xml:space="preserve"> (34% vs. 22% entre las mujeres), </w:t>
      </w:r>
      <w:r w:rsidR="00EE4863">
        <w:rPr>
          <w:rFonts w:ascii="Calibri" w:eastAsia="Calibri" w:hAnsi="Calibri" w:cs="Calibri"/>
          <w:b/>
          <w:bCs/>
        </w:rPr>
        <w:t>así como</w:t>
      </w:r>
      <w:r w:rsidRPr="00EE4863">
        <w:rPr>
          <w:rFonts w:ascii="Calibri" w:eastAsia="Calibri" w:hAnsi="Calibri" w:cs="Calibri"/>
          <w:b/>
          <w:bCs/>
        </w:rPr>
        <w:t xml:space="preserve"> la política nacional</w:t>
      </w:r>
      <w:r w:rsidRPr="00A55B23">
        <w:rPr>
          <w:rFonts w:ascii="Calibri" w:eastAsia="Calibri" w:hAnsi="Calibri" w:cs="Calibri"/>
        </w:rPr>
        <w:t xml:space="preserve"> (20% vs. 17%).</w:t>
      </w:r>
    </w:p>
    <w:p w14:paraId="30B4C9E5" w14:textId="0C2B5385" w:rsidR="00A55B23" w:rsidRPr="00A55B23" w:rsidRDefault="00A55B23" w:rsidP="00A55B23">
      <w:pPr>
        <w:spacing w:before="240" w:after="240"/>
        <w:jc w:val="both"/>
        <w:rPr>
          <w:rFonts w:ascii="Calibri" w:eastAsia="Calibri" w:hAnsi="Calibri" w:cs="Calibri"/>
        </w:rPr>
      </w:pPr>
      <w:r w:rsidRPr="00A55B23">
        <w:rPr>
          <w:rFonts w:ascii="Calibri" w:eastAsia="Calibri" w:hAnsi="Calibri" w:cs="Calibri"/>
        </w:rPr>
        <w:t>Entre los</w:t>
      </w:r>
      <w:r w:rsidRPr="00EE4863">
        <w:rPr>
          <w:rFonts w:ascii="Calibri" w:eastAsia="Calibri" w:hAnsi="Calibri" w:cs="Calibri"/>
          <w:b/>
          <w:bCs/>
        </w:rPr>
        <w:t xml:space="preserve"> jóvenes de 18 a 24 años,</w:t>
      </w:r>
      <w:r w:rsidRPr="00A55B23">
        <w:rPr>
          <w:rFonts w:ascii="Calibri" w:eastAsia="Calibri" w:hAnsi="Calibri" w:cs="Calibri"/>
        </w:rPr>
        <w:t xml:space="preserve"> </w:t>
      </w:r>
      <w:r w:rsidRPr="00A55B23">
        <w:rPr>
          <w:rFonts w:ascii="Calibri" w:eastAsia="Calibri" w:hAnsi="Calibri" w:cs="Calibri"/>
          <w:b/>
          <w:bCs/>
        </w:rPr>
        <w:t xml:space="preserve">la falta de trabajo </w:t>
      </w:r>
      <w:r w:rsidR="002B0AE6">
        <w:rPr>
          <w:rFonts w:ascii="Calibri" w:eastAsia="Calibri" w:hAnsi="Calibri" w:cs="Calibri"/>
          <w:b/>
          <w:bCs/>
        </w:rPr>
        <w:t>crece como</w:t>
      </w:r>
      <w:r w:rsidRPr="00A55B23">
        <w:rPr>
          <w:rFonts w:ascii="Calibri" w:eastAsia="Calibri" w:hAnsi="Calibri" w:cs="Calibri"/>
          <w:b/>
          <w:bCs/>
        </w:rPr>
        <w:t xml:space="preserve"> fuente de estrés (40% vs. 32% en el total), </w:t>
      </w:r>
      <w:r w:rsidR="002B0AE6">
        <w:rPr>
          <w:rFonts w:ascii="Calibri" w:eastAsia="Calibri" w:hAnsi="Calibri" w:cs="Calibri"/>
          <w:b/>
          <w:bCs/>
        </w:rPr>
        <w:t>al igual que la</w:t>
      </w:r>
      <w:r w:rsidRPr="00A55B23">
        <w:rPr>
          <w:rFonts w:ascii="Calibri" w:eastAsia="Calibri" w:hAnsi="Calibri" w:cs="Calibri"/>
          <w:b/>
          <w:bCs/>
        </w:rPr>
        <w:t xml:space="preserve"> familia (37% vs. 26%)</w:t>
      </w:r>
      <w:r w:rsidRPr="00A55B23">
        <w:rPr>
          <w:rFonts w:ascii="Calibri" w:eastAsia="Calibri" w:hAnsi="Calibri" w:cs="Calibri"/>
        </w:rPr>
        <w:t xml:space="preserve">. En este grupo </w:t>
      </w:r>
      <w:r w:rsidRPr="007D64CA">
        <w:rPr>
          <w:rFonts w:ascii="Calibri" w:eastAsia="Calibri" w:hAnsi="Calibri" w:cs="Calibri"/>
          <w:b/>
          <w:bCs/>
        </w:rPr>
        <w:t xml:space="preserve">también adquieren mayor </w:t>
      </w:r>
      <w:r w:rsidR="007D64CA">
        <w:rPr>
          <w:rFonts w:ascii="Calibri" w:eastAsia="Calibri" w:hAnsi="Calibri" w:cs="Calibri"/>
          <w:b/>
          <w:bCs/>
        </w:rPr>
        <w:t>peso</w:t>
      </w:r>
      <w:r w:rsidRPr="007D64CA">
        <w:rPr>
          <w:rFonts w:ascii="Calibri" w:eastAsia="Calibri" w:hAnsi="Calibri" w:cs="Calibri"/>
          <w:b/>
          <w:bCs/>
        </w:rPr>
        <w:t xml:space="preserve"> los</w:t>
      </w:r>
      <w:r w:rsidRPr="00A55B23">
        <w:rPr>
          <w:rFonts w:ascii="Calibri" w:eastAsia="Calibri" w:hAnsi="Calibri" w:cs="Calibri"/>
        </w:rPr>
        <w:t xml:space="preserve"> </w:t>
      </w:r>
      <w:r w:rsidRPr="007D64CA">
        <w:rPr>
          <w:rFonts w:ascii="Calibri" w:eastAsia="Calibri" w:hAnsi="Calibri" w:cs="Calibri"/>
          <w:b/>
          <w:bCs/>
        </w:rPr>
        <w:t>cambios de vida</w:t>
      </w:r>
      <w:r w:rsidRPr="00A55B23">
        <w:rPr>
          <w:rFonts w:ascii="Calibri" w:eastAsia="Calibri" w:hAnsi="Calibri" w:cs="Calibri"/>
        </w:rPr>
        <w:t xml:space="preserve">, como mudanzas o cambios laborales (16%), </w:t>
      </w:r>
      <w:r w:rsidRPr="007D64CA">
        <w:rPr>
          <w:rFonts w:ascii="Calibri" w:eastAsia="Calibri" w:hAnsi="Calibri" w:cs="Calibri"/>
          <w:b/>
          <w:bCs/>
        </w:rPr>
        <w:t>y el uso excesivo del celular y las redes sociales</w:t>
      </w:r>
      <w:r w:rsidRPr="00A55B23">
        <w:rPr>
          <w:rFonts w:ascii="Calibri" w:eastAsia="Calibri" w:hAnsi="Calibri" w:cs="Calibri"/>
        </w:rPr>
        <w:t xml:space="preserve"> (13%</w:t>
      </w:r>
      <w:r w:rsidR="004D741E">
        <w:rPr>
          <w:rFonts w:ascii="Calibri" w:eastAsia="Calibri" w:hAnsi="Calibri" w:cs="Calibri"/>
        </w:rPr>
        <w:t>)</w:t>
      </w:r>
      <w:r w:rsidRPr="00A55B23">
        <w:rPr>
          <w:rFonts w:ascii="Calibri" w:eastAsia="Calibri" w:hAnsi="Calibri" w:cs="Calibri"/>
        </w:rPr>
        <w:t>, factores que pierden</w:t>
      </w:r>
      <w:r w:rsidR="007D64CA">
        <w:rPr>
          <w:rFonts w:ascii="Calibri" w:eastAsia="Calibri" w:hAnsi="Calibri" w:cs="Calibri"/>
        </w:rPr>
        <w:t xml:space="preserve"> fuerza </w:t>
      </w:r>
      <w:r w:rsidRPr="00A55B23">
        <w:rPr>
          <w:rFonts w:ascii="Calibri" w:eastAsia="Calibri" w:hAnsi="Calibri" w:cs="Calibri"/>
        </w:rPr>
        <w:t xml:space="preserve">a medida que aumenta la edad. Entre los </w:t>
      </w:r>
      <w:r w:rsidRPr="007D64CA">
        <w:rPr>
          <w:rFonts w:ascii="Calibri" w:eastAsia="Calibri" w:hAnsi="Calibri" w:cs="Calibri"/>
          <w:b/>
          <w:bCs/>
        </w:rPr>
        <w:t>35 y 49 años</w:t>
      </w:r>
      <w:r w:rsidR="007D64CA">
        <w:rPr>
          <w:rFonts w:ascii="Calibri" w:eastAsia="Calibri" w:hAnsi="Calibri" w:cs="Calibri"/>
        </w:rPr>
        <w:t xml:space="preserve"> </w:t>
      </w:r>
      <w:r w:rsidRPr="00A55B23">
        <w:rPr>
          <w:rFonts w:ascii="Calibri" w:eastAsia="Calibri" w:hAnsi="Calibri" w:cs="Calibri"/>
          <w:b/>
          <w:bCs/>
        </w:rPr>
        <w:t>cobra mayor protagonismo el trabajo</w:t>
      </w:r>
      <w:r w:rsidR="007D64CA">
        <w:rPr>
          <w:rFonts w:ascii="Calibri" w:eastAsia="Calibri" w:hAnsi="Calibri" w:cs="Calibri"/>
          <w:b/>
          <w:bCs/>
        </w:rPr>
        <w:t xml:space="preserve"> como fuente de estrés</w:t>
      </w:r>
      <w:r w:rsidRPr="00A55B23">
        <w:rPr>
          <w:rFonts w:ascii="Calibri" w:eastAsia="Calibri" w:hAnsi="Calibri" w:cs="Calibri"/>
          <w:b/>
          <w:bCs/>
        </w:rPr>
        <w:t xml:space="preserve"> (35%)</w:t>
      </w:r>
      <w:r w:rsidRPr="00A55B23">
        <w:rPr>
          <w:rFonts w:ascii="Calibri" w:eastAsia="Calibri" w:hAnsi="Calibri" w:cs="Calibri"/>
        </w:rPr>
        <w:t xml:space="preserve">, mientras que entre los </w:t>
      </w:r>
      <w:r w:rsidRPr="007D64CA">
        <w:rPr>
          <w:rFonts w:ascii="Calibri" w:eastAsia="Calibri" w:hAnsi="Calibri" w:cs="Calibri"/>
          <w:b/>
          <w:bCs/>
        </w:rPr>
        <w:t>mayores de 50 años la</w:t>
      </w:r>
      <w:r w:rsidRPr="00A55B23">
        <w:rPr>
          <w:rFonts w:ascii="Calibri" w:eastAsia="Calibri" w:hAnsi="Calibri" w:cs="Calibri"/>
          <w:b/>
          <w:bCs/>
        </w:rPr>
        <w:t xml:space="preserve"> política nacional y la salud (25% en ambos casos)</w:t>
      </w:r>
      <w:r w:rsidRPr="00A55B23">
        <w:rPr>
          <w:rFonts w:ascii="Calibri" w:eastAsia="Calibri" w:hAnsi="Calibri" w:cs="Calibri"/>
        </w:rPr>
        <w:t>.</w:t>
      </w:r>
    </w:p>
    <w:p w14:paraId="22B22BE9" w14:textId="00D66E2F" w:rsidR="00A55B23" w:rsidRDefault="00A55B23" w:rsidP="00A55B23">
      <w:pPr>
        <w:spacing w:before="240" w:after="240"/>
        <w:jc w:val="both"/>
        <w:rPr>
          <w:rFonts w:ascii="Calibri" w:eastAsia="Calibri" w:hAnsi="Calibri" w:cs="Calibri"/>
          <w:b/>
          <w:bCs/>
        </w:rPr>
      </w:pPr>
      <w:r w:rsidRPr="002B0AE6">
        <w:rPr>
          <w:rFonts w:ascii="Calibri" w:eastAsia="Calibri" w:hAnsi="Calibri" w:cs="Calibri"/>
        </w:rPr>
        <w:t>El nivel educativo también configura perfiles diferentes</w:t>
      </w:r>
      <w:r w:rsidR="002B0AE6">
        <w:rPr>
          <w:rFonts w:ascii="Calibri" w:eastAsia="Calibri" w:hAnsi="Calibri" w:cs="Calibri"/>
        </w:rPr>
        <w:t xml:space="preserve">. </w:t>
      </w:r>
      <w:r w:rsidRPr="00A55B23">
        <w:rPr>
          <w:rFonts w:ascii="Calibri" w:eastAsia="Calibri" w:hAnsi="Calibri" w:cs="Calibri"/>
        </w:rPr>
        <w:t xml:space="preserve">Entre las personas con </w:t>
      </w:r>
      <w:r w:rsidRPr="002B0AE6">
        <w:rPr>
          <w:rFonts w:ascii="Calibri" w:eastAsia="Calibri" w:hAnsi="Calibri" w:cs="Calibri"/>
          <w:b/>
          <w:bCs/>
        </w:rPr>
        <w:t>estudios superiores</w:t>
      </w:r>
      <w:r w:rsidRPr="00A55B23">
        <w:rPr>
          <w:rFonts w:ascii="Calibri" w:eastAsia="Calibri" w:hAnsi="Calibri" w:cs="Calibri"/>
        </w:rPr>
        <w:t xml:space="preserve"> </w:t>
      </w:r>
      <w:r w:rsidR="007D64CA" w:rsidRPr="007D64CA">
        <w:rPr>
          <w:rFonts w:ascii="Calibri" w:eastAsia="Calibri" w:hAnsi="Calibri" w:cs="Calibri"/>
          <w:b/>
          <w:bCs/>
        </w:rPr>
        <w:t>crece la atribución del estrés al propio</w:t>
      </w:r>
      <w:r w:rsidRPr="00A55B23">
        <w:rPr>
          <w:rFonts w:ascii="Calibri" w:eastAsia="Calibri" w:hAnsi="Calibri" w:cs="Calibri"/>
        </w:rPr>
        <w:t xml:space="preserve"> </w:t>
      </w:r>
      <w:r w:rsidRPr="002B0AE6">
        <w:rPr>
          <w:rFonts w:ascii="Calibri" w:eastAsia="Calibri" w:hAnsi="Calibri" w:cs="Calibri"/>
          <w:b/>
          <w:bCs/>
        </w:rPr>
        <w:t xml:space="preserve">trabajo </w:t>
      </w:r>
      <w:r w:rsidRPr="00A55B23">
        <w:rPr>
          <w:rFonts w:ascii="Calibri" w:eastAsia="Calibri" w:hAnsi="Calibri" w:cs="Calibri"/>
        </w:rPr>
        <w:t>(40%),</w:t>
      </w:r>
      <w:r w:rsidR="007D64CA">
        <w:rPr>
          <w:rFonts w:ascii="Calibri" w:eastAsia="Calibri" w:hAnsi="Calibri" w:cs="Calibri"/>
        </w:rPr>
        <w:t xml:space="preserve"> a</w:t>
      </w:r>
      <w:r w:rsidRPr="00A55B23">
        <w:rPr>
          <w:rFonts w:ascii="Calibri" w:eastAsia="Calibri" w:hAnsi="Calibri" w:cs="Calibri"/>
        </w:rPr>
        <w:t xml:space="preserve"> la </w:t>
      </w:r>
      <w:r w:rsidRPr="002B0AE6">
        <w:rPr>
          <w:rFonts w:ascii="Calibri" w:eastAsia="Calibri" w:hAnsi="Calibri" w:cs="Calibri"/>
          <w:b/>
          <w:bCs/>
        </w:rPr>
        <w:t>política nacional</w:t>
      </w:r>
      <w:r w:rsidRPr="00A55B23">
        <w:rPr>
          <w:rFonts w:ascii="Calibri" w:eastAsia="Calibri" w:hAnsi="Calibri" w:cs="Calibri"/>
        </w:rPr>
        <w:t xml:space="preserve"> (28</w:t>
      </w:r>
      <w:r w:rsidR="00FB1326">
        <w:rPr>
          <w:rFonts w:ascii="Calibri" w:eastAsia="Calibri" w:hAnsi="Calibri" w:cs="Calibri"/>
        </w:rPr>
        <w:t xml:space="preserve">%) </w:t>
      </w:r>
      <w:r w:rsidR="007D64CA">
        <w:rPr>
          <w:rFonts w:ascii="Calibri" w:eastAsia="Calibri" w:hAnsi="Calibri" w:cs="Calibri"/>
        </w:rPr>
        <w:t>mientras que en</w:t>
      </w:r>
      <w:r w:rsidRPr="00A55B23">
        <w:rPr>
          <w:rFonts w:ascii="Calibri" w:eastAsia="Calibri" w:hAnsi="Calibri" w:cs="Calibri"/>
        </w:rPr>
        <w:t xml:space="preserve">tre quienes cuentan </w:t>
      </w:r>
      <w:r w:rsidR="007D64CA">
        <w:rPr>
          <w:rFonts w:ascii="Calibri" w:eastAsia="Calibri" w:hAnsi="Calibri" w:cs="Calibri"/>
        </w:rPr>
        <w:t xml:space="preserve">solo </w:t>
      </w:r>
      <w:r w:rsidRPr="00A55B23">
        <w:rPr>
          <w:rFonts w:ascii="Calibri" w:eastAsia="Calibri" w:hAnsi="Calibri" w:cs="Calibri"/>
        </w:rPr>
        <w:t xml:space="preserve">con </w:t>
      </w:r>
      <w:r w:rsidRPr="002B0AE6">
        <w:rPr>
          <w:rFonts w:ascii="Calibri" w:eastAsia="Calibri" w:hAnsi="Calibri" w:cs="Calibri"/>
          <w:b/>
          <w:bCs/>
        </w:rPr>
        <w:t>educación primaria</w:t>
      </w:r>
      <w:r w:rsidRPr="00A55B23">
        <w:rPr>
          <w:rFonts w:ascii="Calibri" w:eastAsia="Calibri" w:hAnsi="Calibri" w:cs="Calibri"/>
          <w:b/>
          <w:bCs/>
        </w:rPr>
        <w:t xml:space="preserve"> </w:t>
      </w:r>
      <w:r w:rsidR="007D64CA">
        <w:rPr>
          <w:rFonts w:ascii="Calibri" w:eastAsia="Calibri" w:hAnsi="Calibri" w:cs="Calibri"/>
          <w:b/>
          <w:bCs/>
        </w:rPr>
        <w:t>lo hace</w:t>
      </w:r>
      <w:r w:rsidRPr="00A55B23">
        <w:rPr>
          <w:rFonts w:ascii="Calibri" w:eastAsia="Calibri" w:hAnsi="Calibri" w:cs="Calibri"/>
          <w:b/>
          <w:bCs/>
        </w:rPr>
        <w:t xml:space="preserve"> la falta de trabajo (38%)</w:t>
      </w:r>
      <w:r w:rsidR="00F5579A">
        <w:rPr>
          <w:rFonts w:ascii="Calibri" w:eastAsia="Calibri" w:hAnsi="Calibri" w:cs="Calibri"/>
          <w:b/>
          <w:bCs/>
        </w:rPr>
        <w:t>.</w:t>
      </w:r>
    </w:p>
    <w:p w14:paraId="59BFADF2" w14:textId="77777777" w:rsidR="00384AC7" w:rsidRDefault="00384AC7" w:rsidP="00A55B23">
      <w:pPr>
        <w:spacing w:before="240" w:after="240"/>
        <w:jc w:val="both"/>
        <w:rPr>
          <w:rFonts w:ascii="Calibri" w:eastAsia="Calibri" w:hAnsi="Calibri" w:cs="Calibri"/>
          <w:b/>
          <w:bCs/>
        </w:rPr>
      </w:pPr>
    </w:p>
    <w:p w14:paraId="5832E5FC" w14:textId="77777777" w:rsidR="00384AC7" w:rsidRPr="00A55B23" w:rsidRDefault="00384AC7" w:rsidP="00A55B23">
      <w:pPr>
        <w:spacing w:before="240" w:after="240"/>
        <w:jc w:val="both"/>
        <w:rPr>
          <w:rFonts w:ascii="Calibri" w:eastAsia="Calibri" w:hAnsi="Calibri" w:cs="Calibri"/>
        </w:rPr>
      </w:pPr>
    </w:p>
    <w:p w14:paraId="4E303766" w14:textId="77777777" w:rsidR="001068B1" w:rsidRDefault="001068B1" w:rsidP="001068B1">
      <w:pPr>
        <w:spacing w:before="240" w:after="240"/>
        <w:jc w:val="both"/>
        <w:rPr>
          <w:rFonts w:ascii="Calibri" w:eastAsia="Calibri" w:hAnsi="Calibri" w:cs="Calibri"/>
          <w:b/>
          <w:bCs/>
          <w:color w:val="00B050"/>
        </w:rPr>
      </w:pPr>
    </w:p>
    <w:p w14:paraId="3B4A8A20" w14:textId="49C964E3" w:rsidR="001068B1" w:rsidRPr="001068B1" w:rsidRDefault="001068B1" w:rsidP="001068B1">
      <w:pPr>
        <w:spacing w:before="240" w:after="240"/>
        <w:jc w:val="both"/>
        <w:rPr>
          <w:rFonts w:ascii="Calibri" w:eastAsia="Calibri" w:hAnsi="Calibri" w:cs="Calibri"/>
          <w:b/>
          <w:bCs/>
          <w:color w:val="00B050"/>
        </w:rPr>
      </w:pPr>
      <w:r w:rsidRPr="001068B1">
        <w:rPr>
          <w:rFonts w:ascii="Calibri" w:eastAsia="Calibri" w:hAnsi="Calibri" w:cs="Calibri"/>
          <w:b/>
          <w:bCs/>
          <w:color w:val="00B050"/>
        </w:rPr>
        <w:lastRenderedPageBreak/>
        <w:t>ZOOM IN MUJERES: LAS ARGENTINAS, ENTRE LAS MÁS ESTRESADAS DEL MUNDO</w:t>
      </w:r>
    </w:p>
    <w:p w14:paraId="35A1C4EB" w14:textId="1E479E33" w:rsidR="001068B1" w:rsidRPr="001068B1" w:rsidRDefault="001068B1" w:rsidP="001068B1">
      <w:pPr>
        <w:spacing w:before="240" w:after="240"/>
        <w:jc w:val="both"/>
        <w:rPr>
          <w:rFonts w:ascii="Calibri" w:eastAsia="Calibri" w:hAnsi="Calibri" w:cs="Calibri"/>
        </w:rPr>
      </w:pPr>
      <w:r w:rsidRPr="001068B1">
        <w:rPr>
          <w:rFonts w:ascii="Calibri" w:eastAsia="Calibri" w:hAnsi="Calibri" w:cs="Calibri"/>
        </w:rPr>
        <w:t xml:space="preserve">El </w:t>
      </w:r>
      <w:r w:rsidRPr="001068B1">
        <w:rPr>
          <w:rFonts w:ascii="Calibri" w:eastAsia="Calibri" w:hAnsi="Calibri" w:cs="Calibri"/>
          <w:b/>
          <w:bCs/>
        </w:rPr>
        <w:t xml:space="preserve">57% de las argentinas dice sufrir </w:t>
      </w:r>
      <w:r w:rsidRPr="00FB1326">
        <w:rPr>
          <w:rFonts w:ascii="Calibri" w:eastAsia="Calibri" w:hAnsi="Calibri" w:cs="Calibri"/>
          <w:b/>
          <w:bCs/>
        </w:rPr>
        <w:t>estrés con frecuencia, 9 puntos por encima del promedio</w:t>
      </w:r>
      <w:r w:rsidRPr="00FB1326">
        <w:rPr>
          <w:rFonts w:ascii="Calibri" w:eastAsia="Calibri" w:hAnsi="Calibri" w:cs="Calibri"/>
        </w:rPr>
        <w:t xml:space="preserve"> global de mujeres (48%). Esta cifra ubica a la Argentina en el </w:t>
      </w:r>
      <w:r w:rsidRPr="00FB1326">
        <w:rPr>
          <w:rFonts w:ascii="Calibri" w:eastAsia="Calibri" w:hAnsi="Calibri" w:cs="Calibri"/>
          <w:b/>
          <w:bCs/>
        </w:rPr>
        <w:t xml:space="preserve">top 10 mundial </w:t>
      </w:r>
      <w:r w:rsidR="001D4255" w:rsidRPr="00FB1326">
        <w:rPr>
          <w:rFonts w:ascii="Calibri" w:eastAsia="Calibri" w:hAnsi="Calibri" w:cs="Calibri"/>
          <w:b/>
          <w:bCs/>
        </w:rPr>
        <w:t xml:space="preserve">entre los 45 países medidos </w:t>
      </w:r>
      <w:r w:rsidRPr="00FB1326">
        <w:rPr>
          <w:rFonts w:ascii="Calibri" w:eastAsia="Calibri" w:hAnsi="Calibri" w:cs="Calibri"/>
          <w:b/>
          <w:bCs/>
        </w:rPr>
        <w:t xml:space="preserve">y en el tercer lugar </w:t>
      </w:r>
      <w:r w:rsidRPr="001068B1">
        <w:rPr>
          <w:rFonts w:ascii="Calibri" w:eastAsia="Calibri" w:hAnsi="Calibri" w:cs="Calibri"/>
          <w:b/>
          <w:bCs/>
        </w:rPr>
        <w:t>de América Latina,</w:t>
      </w:r>
      <w:r w:rsidRPr="001068B1">
        <w:rPr>
          <w:rFonts w:ascii="Calibri" w:eastAsia="Calibri" w:hAnsi="Calibri" w:cs="Calibri"/>
        </w:rPr>
        <w:t xml:space="preserve"> detrás de Chile (66%) y Ecuador (59%).</w:t>
      </w:r>
    </w:p>
    <w:p w14:paraId="618BF406" w14:textId="0EC1869D" w:rsidR="001068B1" w:rsidRPr="001068B1" w:rsidRDefault="001068B1" w:rsidP="001068B1">
      <w:pPr>
        <w:spacing w:before="240" w:after="240"/>
        <w:jc w:val="both"/>
        <w:rPr>
          <w:rFonts w:ascii="Calibri" w:eastAsia="Calibri" w:hAnsi="Calibri" w:cs="Calibri"/>
        </w:rPr>
      </w:pPr>
      <w:r w:rsidRPr="001068B1">
        <w:rPr>
          <w:rFonts w:ascii="Calibri" w:eastAsia="Calibri" w:hAnsi="Calibri" w:cs="Calibri"/>
          <w:b/>
          <w:bCs/>
        </w:rPr>
        <w:t>El estrés frecuente alcanza su punto más alto entre las mujeres de 35 a 49 años</w:t>
      </w:r>
      <w:r w:rsidRPr="001068B1">
        <w:rPr>
          <w:rFonts w:ascii="Calibri" w:eastAsia="Calibri" w:hAnsi="Calibri" w:cs="Calibri"/>
        </w:rPr>
        <w:t xml:space="preserve"> (66%), </w:t>
      </w:r>
      <w:r w:rsidRPr="001068B1">
        <w:rPr>
          <w:rFonts w:ascii="Calibri" w:eastAsia="Calibri" w:hAnsi="Calibri" w:cs="Calibri"/>
          <w:b/>
          <w:bCs/>
        </w:rPr>
        <w:t>seguidas por las jóvenes de 18 a 24</w:t>
      </w:r>
      <w:r w:rsidRPr="001068B1">
        <w:rPr>
          <w:rFonts w:ascii="Calibri" w:eastAsia="Calibri" w:hAnsi="Calibri" w:cs="Calibri"/>
        </w:rPr>
        <w:t xml:space="preserve"> (60%). También es mayor entre quienes tienen </w:t>
      </w:r>
      <w:r w:rsidRPr="001068B1">
        <w:rPr>
          <w:rFonts w:ascii="Calibri" w:eastAsia="Calibri" w:hAnsi="Calibri" w:cs="Calibri"/>
          <w:b/>
          <w:bCs/>
        </w:rPr>
        <w:t>educación primaria o secundaria</w:t>
      </w:r>
      <w:r w:rsidRPr="001068B1">
        <w:rPr>
          <w:rFonts w:ascii="Calibri" w:eastAsia="Calibri" w:hAnsi="Calibri" w:cs="Calibri"/>
        </w:rPr>
        <w:t xml:space="preserve"> (59% y 60%) que entre quienes tienen estudios superiores (51%)</w:t>
      </w:r>
    </w:p>
    <w:p w14:paraId="511D7208" w14:textId="0BC3F64D" w:rsidR="001068B1" w:rsidRPr="001068B1" w:rsidRDefault="001068B1" w:rsidP="001068B1">
      <w:pPr>
        <w:spacing w:before="240" w:after="240"/>
        <w:jc w:val="both"/>
        <w:rPr>
          <w:rFonts w:ascii="Calibri" w:eastAsia="Calibri" w:hAnsi="Calibri" w:cs="Calibri"/>
          <w:b/>
          <w:bCs/>
          <w:color w:val="00B050"/>
        </w:rPr>
      </w:pPr>
      <w:r w:rsidRPr="001068B1">
        <w:rPr>
          <w:rFonts w:ascii="Calibri" w:eastAsia="Calibri" w:hAnsi="Calibri" w:cs="Calibri"/>
          <w:b/>
          <w:bCs/>
          <w:color w:val="00B050"/>
        </w:rPr>
        <w:t xml:space="preserve">ZOOM IN HOMBRES: </w:t>
      </w:r>
      <w:r>
        <w:rPr>
          <w:rFonts w:ascii="Calibri" w:eastAsia="Calibri" w:hAnsi="Calibri" w:cs="Calibri"/>
          <w:b/>
          <w:bCs/>
          <w:color w:val="00B050"/>
        </w:rPr>
        <w:t>LOS HOMBRES ARGENTINOS ESTÁN M</w:t>
      </w:r>
      <w:r w:rsidRPr="001068B1">
        <w:rPr>
          <w:rFonts w:ascii="Calibri" w:eastAsia="Calibri" w:hAnsi="Calibri" w:cs="Calibri"/>
          <w:b/>
          <w:bCs/>
          <w:color w:val="00B050"/>
        </w:rPr>
        <w:t>ÁS ESTRESADOS QUE EL PROMEDIO MUNDIAL</w:t>
      </w:r>
    </w:p>
    <w:p w14:paraId="71AC6D4D" w14:textId="3D4D9F32" w:rsidR="001068B1" w:rsidRPr="001068B1" w:rsidRDefault="001068B1" w:rsidP="001068B1">
      <w:pPr>
        <w:spacing w:before="240" w:after="240"/>
        <w:jc w:val="both"/>
        <w:rPr>
          <w:rFonts w:ascii="Calibri" w:eastAsia="Calibri" w:hAnsi="Calibri" w:cs="Calibri"/>
        </w:rPr>
      </w:pPr>
      <w:r w:rsidRPr="001068B1">
        <w:rPr>
          <w:rFonts w:ascii="Calibri" w:eastAsia="Calibri" w:hAnsi="Calibri" w:cs="Calibri"/>
        </w:rPr>
        <w:t xml:space="preserve">El </w:t>
      </w:r>
      <w:r w:rsidRPr="001068B1">
        <w:rPr>
          <w:rFonts w:ascii="Calibri" w:eastAsia="Calibri" w:hAnsi="Calibri" w:cs="Calibri"/>
          <w:b/>
          <w:bCs/>
        </w:rPr>
        <w:t>41% de los hombres argentinos dice sufrir estrés con frecuencia, 5 puntos por encima del promedio</w:t>
      </w:r>
      <w:r w:rsidRPr="001068B1">
        <w:rPr>
          <w:rFonts w:ascii="Calibri" w:eastAsia="Calibri" w:hAnsi="Calibri" w:cs="Calibri"/>
        </w:rPr>
        <w:t xml:space="preserve"> global de hombres (36%). Con esa cifra, la Argentina ocupa el puesto 14 entre los 45 países relevados y el tercer lugar de América Latin</w:t>
      </w:r>
      <w:r>
        <w:rPr>
          <w:rFonts w:ascii="Calibri" w:eastAsia="Calibri" w:hAnsi="Calibri" w:cs="Calibri"/>
        </w:rPr>
        <w:t>a. As</w:t>
      </w:r>
      <w:r w:rsidRPr="001068B1">
        <w:rPr>
          <w:rFonts w:ascii="Calibri" w:eastAsia="Calibri" w:hAnsi="Calibri" w:cs="Calibri"/>
        </w:rPr>
        <w:t xml:space="preserve">í, </w:t>
      </w:r>
      <w:r w:rsidRPr="001068B1">
        <w:rPr>
          <w:rFonts w:ascii="Calibri" w:eastAsia="Calibri" w:hAnsi="Calibri" w:cs="Calibri"/>
          <w:b/>
          <w:bCs/>
        </w:rPr>
        <w:t>aunque la brecha de género es clara, el estrés no es un fenómeno exclusivo de las mujeres: también alcanza a los hombres por encima de la media mundial</w:t>
      </w:r>
      <w:r w:rsidR="00F5579A">
        <w:rPr>
          <w:rFonts w:ascii="Calibri" w:eastAsia="Calibri" w:hAnsi="Calibri" w:cs="Calibri"/>
          <w:b/>
          <w:bCs/>
        </w:rPr>
        <w:t>.</w:t>
      </w:r>
    </w:p>
    <w:p w14:paraId="0000003F" w14:textId="4027A200" w:rsidR="005B4244" w:rsidRDefault="001068B1">
      <w:pPr>
        <w:spacing w:before="240" w:after="240"/>
        <w:jc w:val="both"/>
        <w:rPr>
          <w:rFonts w:ascii="Calibri" w:eastAsia="Calibri" w:hAnsi="Calibri" w:cs="Calibri"/>
        </w:rPr>
      </w:pPr>
      <w:r w:rsidRPr="001068B1">
        <w:rPr>
          <w:rFonts w:ascii="Calibri" w:eastAsia="Calibri" w:hAnsi="Calibri" w:cs="Calibri"/>
        </w:rPr>
        <w:t>El estrés frecuente llega a su punto más alto entre los</w:t>
      </w:r>
      <w:r>
        <w:rPr>
          <w:rFonts w:ascii="Calibri" w:eastAsia="Calibri" w:hAnsi="Calibri" w:cs="Calibri"/>
        </w:rPr>
        <w:t xml:space="preserve"> hombres argentinos de</w:t>
      </w:r>
      <w:r w:rsidRPr="001068B1">
        <w:rPr>
          <w:rFonts w:ascii="Calibri" w:eastAsia="Calibri" w:hAnsi="Calibri" w:cs="Calibri"/>
        </w:rPr>
        <w:t xml:space="preserve"> </w:t>
      </w:r>
      <w:r w:rsidRPr="001068B1">
        <w:rPr>
          <w:rFonts w:ascii="Calibri" w:eastAsia="Calibri" w:hAnsi="Calibri" w:cs="Calibri"/>
          <w:b/>
          <w:bCs/>
        </w:rPr>
        <w:t xml:space="preserve">25 </w:t>
      </w:r>
      <w:r w:rsidR="00F5579A">
        <w:rPr>
          <w:rFonts w:ascii="Calibri" w:eastAsia="Calibri" w:hAnsi="Calibri" w:cs="Calibri"/>
          <w:b/>
          <w:bCs/>
        </w:rPr>
        <w:t xml:space="preserve">a </w:t>
      </w:r>
      <w:r w:rsidRPr="001068B1">
        <w:rPr>
          <w:rFonts w:ascii="Calibri" w:eastAsia="Calibri" w:hAnsi="Calibri" w:cs="Calibri"/>
          <w:b/>
          <w:bCs/>
        </w:rPr>
        <w:t xml:space="preserve">34 años </w:t>
      </w:r>
      <w:r w:rsidRPr="001068B1">
        <w:rPr>
          <w:rFonts w:ascii="Calibri" w:eastAsia="Calibri" w:hAnsi="Calibri" w:cs="Calibri"/>
        </w:rPr>
        <w:t xml:space="preserve">(48%) y desciende entre los mayores de 50 (37%). Al igual que entre las mujeres, es algo más alto entre quienes tienen </w:t>
      </w:r>
      <w:r w:rsidRPr="001068B1">
        <w:rPr>
          <w:rFonts w:ascii="Calibri" w:eastAsia="Calibri" w:hAnsi="Calibri" w:cs="Calibri"/>
          <w:b/>
          <w:bCs/>
        </w:rPr>
        <w:t>educación primaria</w:t>
      </w:r>
      <w:r w:rsidRPr="001068B1">
        <w:rPr>
          <w:rFonts w:ascii="Calibri" w:eastAsia="Calibri" w:hAnsi="Calibri" w:cs="Calibri"/>
        </w:rPr>
        <w:t xml:space="preserve"> (44%) que entre quienes cuentan con estudios </w:t>
      </w:r>
      <w:r w:rsidR="00F5579A">
        <w:rPr>
          <w:rFonts w:ascii="Calibri" w:eastAsia="Calibri" w:hAnsi="Calibri" w:cs="Calibri"/>
        </w:rPr>
        <w:t>secundarios o superiores</w:t>
      </w:r>
      <w:r w:rsidRPr="001068B1">
        <w:rPr>
          <w:rFonts w:ascii="Calibri" w:eastAsia="Calibri" w:hAnsi="Calibri" w:cs="Calibri"/>
        </w:rPr>
        <w:t xml:space="preserve"> (39%).</w:t>
      </w:r>
    </w:p>
    <w:p w14:paraId="00000040" w14:textId="77777777" w:rsidR="005B4244" w:rsidRDefault="005B4244" w:rsidP="00384AC7">
      <w:pPr>
        <w:jc w:val="both"/>
        <w:rPr>
          <w:rFonts w:ascii="Calibri" w:eastAsia="Calibri" w:hAnsi="Calibri" w:cs="Calibri"/>
        </w:rPr>
      </w:pPr>
    </w:p>
    <w:p w14:paraId="1685A640" w14:textId="5613D8CB" w:rsidR="00B07E1D" w:rsidRPr="00384AC7" w:rsidRDefault="00000000" w:rsidP="00384AC7">
      <w:pPr>
        <w:jc w:val="both"/>
        <w:rPr>
          <w:rFonts w:ascii="Calibri" w:eastAsia="Calibri" w:hAnsi="Calibri" w:cs="Calibri"/>
        </w:rPr>
      </w:pPr>
      <w:r w:rsidRPr="00384AC7">
        <w:rPr>
          <w:rFonts w:ascii="Calibri" w:eastAsia="Calibri" w:hAnsi="Calibri" w:cs="Calibri"/>
          <w:b/>
          <w:bCs/>
        </w:rPr>
        <w:t>Constanza Cilley, Directora Ejecutiva de Voices! y analista social a cargo del estudio, comenta:</w:t>
      </w:r>
      <w:r>
        <w:rPr>
          <w:rFonts w:ascii="Calibri" w:eastAsia="Calibri" w:hAnsi="Calibri" w:cs="Calibri"/>
        </w:rPr>
        <w:t xml:space="preserve"> </w:t>
      </w:r>
      <w:r w:rsidR="00384AC7" w:rsidRPr="00384AC7">
        <w:rPr>
          <w:rFonts w:ascii="Calibri" w:eastAsia="Calibri" w:hAnsi="Calibri" w:cs="Calibri"/>
          <w:i/>
          <w:iCs/>
        </w:rPr>
        <w:t>“</w:t>
      </w:r>
      <w:r w:rsidR="00B07E1D" w:rsidRPr="00384AC7">
        <w:rPr>
          <w:rFonts w:ascii="Calibri" w:eastAsia="Calibri" w:hAnsi="Calibri" w:cs="Calibri"/>
          <w:i/>
          <w:iCs/>
        </w:rPr>
        <w:t>Los resultados muestran un aumento muy significativo del estrés en la sociedad argentina: en apenas un año pasamos de un 3</w:t>
      </w:r>
      <w:r w:rsidR="00F5579A">
        <w:rPr>
          <w:rFonts w:ascii="Calibri" w:eastAsia="Calibri" w:hAnsi="Calibri" w:cs="Calibri"/>
          <w:i/>
          <w:iCs/>
        </w:rPr>
        <w:t>3</w:t>
      </w:r>
      <w:r w:rsidR="00B07E1D" w:rsidRPr="00384AC7">
        <w:rPr>
          <w:rFonts w:ascii="Calibri" w:eastAsia="Calibri" w:hAnsi="Calibri" w:cs="Calibri"/>
          <w:i/>
          <w:iCs/>
        </w:rPr>
        <w:t>% a un 50% de personas que dicen experimentarlo con frecuencia. Pero, además, el estudio permite ver que el estrés no se distribuye de manera homogénea: afecta especialmente a las mujeres y a los jóvenes, y está fuertemente atravesado por las condiciones económicas. Que más de la mitad de los argentinos señale la falta de dinero o las deudas como una fuente de estrés muestra hasta qué punto las preocupaciones económicas han penetrado en la vida cotidiana. Estos datos nos invitan a pensar la salud mental no solamente como una cuestión individual, sino también como un fenómeno social, estrechamente relacionado con las condiciones en las que las personas viven, trabajan y proyectan su futuro.”</w:t>
      </w:r>
    </w:p>
    <w:p w14:paraId="799A9C9F" w14:textId="77777777" w:rsidR="00B07E1D" w:rsidRDefault="00B07E1D" w:rsidP="00384AC7">
      <w:pPr>
        <w:spacing w:line="278" w:lineRule="auto"/>
        <w:jc w:val="both"/>
        <w:rPr>
          <w:rFonts w:ascii="Calibri" w:eastAsia="Calibri" w:hAnsi="Calibri" w:cs="Calibri"/>
          <w:i/>
          <w:iCs/>
        </w:rPr>
      </w:pPr>
    </w:p>
    <w:p w14:paraId="64745BDB" w14:textId="2047B294" w:rsidR="00C0063E" w:rsidRPr="00C0063E" w:rsidRDefault="00000000" w:rsidP="00384AC7">
      <w:pPr>
        <w:spacing w:line="278" w:lineRule="auto"/>
        <w:jc w:val="both"/>
        <w:rPr>
          <w:rFonts w:ascii="Calibri" w:eastAsia="Calibri" w:hAnsi="Calibri" w:cs="Calibri"/>
          <w:i/>
          <w:iCs/>
          <w:highlight w:val="yellow"/>
        </w:rPr>
      </w:pPr>
      <w:r>
        <w:rPr>
          <w:rFonts w:ascii="Calibri" w:eastAsia="Calibri" w:hAnsi="Calibri" w:cs="Calibri"/>
          <w:b/>
          <w:bCs/>
        </w:rPr>
        <w:t>Richard Colwell, Presidente de la Asociación Internacional WIN</w:t>
      </w:r>
      <w:r>
        <w:rPr>
          <w:rFonts w:ascii="Calibri" w:eastAsia="Calibri" w:hAnsi="Calibri" w:cs="Calibri"/>
        </w:rPr>
        <w:t>, dijo</w:t>
      </w:r>
      <w:r w:rsidRPr="00C0063E">
        <w:rPr>
          <w:rFonts w:ascii="Calibri" w:eastAsia="Calibri" w:hAnsi="Calibri" w:cs="Calibri"/>
        </w:rPr>
        <w:t>: </w:t>
      </w:r>
      <w:r w:rsidR="00C0063E" w:rsidRPr="00C0063E">
        <w:rPr>
          <w:rFonts w:ascii="Calibri" w:eastAsia="Calibri" w:hAnsi="Calibri" w:cs="Calibri"/>
          <w:i/>
          <w:iCs/>
        </w:rPr>
        <w:t>"Lo que más llama la atención es lo cotidianas que son, en realidad, las principales fuentes de estrés. La gente no nos dice que lo que más le preocupa son las guerras o la política, sino pagar las cuentas, conservar su trabajo, cuidar de su familia y su salud. Y son justamente esas presiones, en particular las finanzas y la estabilidad laboral, las que están más estrechamente vinculadas al estrés crónico y frecuente. Esto tiene implicancias concretas en la forma en que deben responder los gobiernos, los empleadores y las comunidades: la prioridad no es solo generar conciencia sobre el estrés, sino abordar la inseguridad económica cotidiana que está provocando gran parte de él."</w:t>
      </w:r>
    </w:p>
    <w:p w14:paraId="00000043" w14:textId="5EF4D931" w:rsidR="005B4244" w:rsidRDefault="005B4244">
      <w:pPr>
        <w:spacing w:line="278" w:lineRule="auto"/>
        <w:jc w:val="both"/>
        <w:rPr>
          <w:rFonts w:ascii="Calibri" w:eastAsia="Calibri" w:hAnsi="Calibri" w:cs="Calibri"/>
          <w:i/>
          <w:iCs/>
        </w:rPr>
      </w:pPr>
    </w:p>
    <w:p w14:paraId="3181466C" w14:textId="77777777" w:rsidR="00384AC7" w:rsidRDefault="00384AC7">
      <w:pPr>
        <w:spacing w:line="278" w:lineRule="auto"/>
        <w:jc w:val="both"/>
        <w:rPr>
          <w:rFonts w:ascii="Calibri" w:eastAsia="Calibri" w:hAnsi="Calibri" w:cs="Calibri"/>
          <w:i/>
          <w:iCs/>
        </w:rPr>
      </w:pPr>
    </w:p>
    <w:p w14:paraId="4BB895BD" w14:textId="77777777" w:rsidR="00384AC7" w:rsidRDefault="00384AC7">
      <w:pPr>
        <w:spacing w:line="278" w:lineRule="auto"/>
        <w:jc w:val="both"/>
        <w:rPr>
          <w:rFonts w:ascii="Calibri" w:eastAsia="Calibri" w:hAnsi="Calibri" w:cs="Calibri"/>
          <w:i/>
          <w:iCs/>
        </w:rPr>
      </w:pPr>
    </w:p>
    <w:p w14:paraId="7CEF3D9F" w14:textId="77777777" w:rsidR="00384AC7" w:rsidRDefault="00384AC7">
      <w:pPr>
        <w:spacing w:line="278" w:lineRule="auto"/>
        <w:jc w:val="both"/>
        <w:rPr>
          <w:rFonts w:ascii="Calibri" w:eastAsia="Calibri" w:hAnsi="Calibri" w:cs="Calibri"/>
          <w:i/>
          <w:iCs/>
        </w:rPr>
      </w:pPr>
    </w:p>
    <w:p w14:paraId="2A62915E" w14:textId="77777777" w:rsidR="00384AC7" w:rsidRDefault="00384AC7">
      <w:pPr>
        <w:spacing w:line="278" w:lineRule="auto"/>
        <w:jc w:val="both"/>
        <w:rPr>
          <w:rFonts w:ascii="Calibri" w:eastAsia="Calibri" w:hAnsi="Calibri" w:cs="Calibri"/>
          <w:i/>
          <w:iCs/>
        </w:rPr>
      </w:pPr>
    </w:p>
    <w:p w14:paraId="2F0BD167" w14:textId="77777777" w:rsidR="00384AC7" w:rsidRDefault="00384AC7">
      <w:pPr>
        <w:spacing w:line="278" w:lineRule="auto"/>
        <w:jc w:val="both"/>
        <w:rPr>
          <w:rFonts w:ascii="Calibri" w:eastAsia="Calibri" w:hAnsi="Calibri" w:cs="Calibri"/>
          <w:i/>
          <w:iCs/>
        </w:rPr>
      </w:pPr>
    </w:p>
    <w:p w14:paraId="4D96EFF5" w14:textId="77777777" w:rsidR="00384AC7" w:rsidRDefault="00384AC7">
      <w:pPr>
        <w:spacing w:line="278" w:lineRule="auto"/>
        <w:jc w:val="both"/>
        <w:rPr>
          <w:rFonts w:ascii="Calibri" w:eastAsia="Calibri" w:hAnsi="Calibri" w:cs="Calibri"/>
          <w:i/>
          <w:iCs/>
        </w:rPr>
      </w:pPr>
    </w:p>
    <w:p w14:paraId="00000044" w14:textId="77777777" w:rsidR="005B4244" w:rsidRDefault="005B4244">
      <w:pPr>
        <w:spacing w:line="278" w:lineRule="auto"/>
        <w:jc w:val="both"/>
        <w:rPr>
          <w:rFonts w:ascii="Calibri" w:eastAsia="Calibri" w:hAnsi="Calibri" w:cs="Calibri"/>
          <w:b/>
          <w:bCs/>
        </w:rPr>
      </w:pPr>
    </w:p>
    <w:p w14:paraId="00000045" w14:textId="77777777" w:rsidR="005B4244" w:rsidRDefault="00000000">
      <w:pPr>
        <w:spacing w:line="278" w:lineRule="auto"/>
        <w:jc w:val="both"/>
        <w:rPr>
          <w:rFonts w:ascii="Calibri" w:eastAsia="Calibri" w:hAnsi="Calibri" w:cs="Calibri"/>
        </w:rPr>
      </w:pPr>
      <w:r>
        <w:rPr>
          <w:rFonts w:ascii="Calibri" w:eastAsia="Calibri" w:hAnsi="Calibri" w:cs="Calibri"/>
          <w:b/>
          <w:bCs/>
        </w:rPr>
        <w:lastRenderedPageBreak/>
        <w:t>Acerca de la Encuesta WIN</w:t>
      </w:r>
    </w:p>
    <w:p w14:paraId="00000046" w14:textId="77777777" w:rsidR="005B4244" w:rsidRDefault="00000000">
      <w:pPr>
        <w:spacing w:line="278" w:lineRule="auto"/>
        <w:jc w:val="both"/>
        <w:rPr>
          <w:rFonts w:ascii="Calibri" w:eastAsia="Calibri" w:hAnsi="Calibri" w:cs="Calibri"/>
        </w:rPr>
      </w:pPr>
      <w:r>
        <w:rPr>
          <w:rFonts w:ascii="Calibri" w:eastAsia="Calibri" w:hAnsi="Calibri" w:cs="Calibri"/>
        </w:rPr>
        <w:t>Worldwide Independent Network of Market Research (WIN) es una red global que realiza Investigación de Mercado y Encuestas de opinión en todos los continentes – Voices! es integrante de la red realizando los estudios en Argentina.</w:t>
      </w:r>
    </w:p>
    <w:p w14:paraId="00000047" w14:textId="77777777" w:rsidR="005B4244" w:rsidRDefault="005B4244">
      <w:pPr>
        <w:spacing w:line="278" w:lineRule="auto"/>
        <w:jc w:val="both"/>
        <w:rPr>
          <w:rFonts w:ascii="Calibri" w:eastAsia="Calibri" w:hAnsi="Calibri" w:cs="Calibri"/>
        </w:rPr>
      </w:pPr>
    </w:p>
    <w:p w14:paraId="00000048" w14:textId="77777777" w:rsidR="005B4244" w:rsidRDefault="00000000">
      <w:pPr>
        <w:spacing w:line="278" w:lineRule="auto"/>
        <w:jc w:val="both"/>
        <w:rPr>
          <w:rFonts w:ascii="Calibri" w:eastAsia="Calibri" w:hAnsi="Calibri" w:cs="Calibri"/>
          <w:b/>
          <w:bCs/>
        </w:rPr>
      </w:pPr>
      <w:r>
        <w:rPr>
          <w:rFonts w:ascii="Calibri" w:eastAsia="Calibri" w:hAnsi="Calibri" w:cs="Calibri"/>
          <w:b/>
          <w:bCs/>
        </w:rPr>
        <w:t xml:space="preserve">Metodología </w:t>
      </w:r>
    </w:p>
    <w:p w14:paraId="00000049" w14:textId="77777777" w:rsidR="005B4244" w:rsidRDefault="00000000">
      <w:pPr>
        <w:spacing w:line="278" w:lineRule="auto"/>
        <w:jc w:val="both"/>
        <w:rPr>
          <w:rFonts w:ascii="Calibri" w:eastAsia="Calibri" w:hAnsi="Calibri" w:cs="Calibri"/>
        </w:rPr>
      </w:pPr>
      <w:r>
        <w:rPr>
          <w:rFonts w:ascii="Calibri" w:eastAsia="Calibri" w:hAnsi="Calibri" w:cs="Calibri"/>
        </w:rPr>
        <w:t xml:space="preserve">La encuesta se realizó en 45 países utilizando métodos de encuesta CAWI / CATI / F2F/ TAPI /online. </w:t>
      </w:r>
    </w:p>
    <w:p w14:paraId="0000004A" w14:textId="77777777" w:rsidR="005B4244" w:rsidRDefault="00000000">
      <w:pPr>
        <w:spacing w:line="278" w:lineRule="auto"/>
        <w:jc w:val="both"/>
        <w:rPr>
          <w:rFonts w:ascii="Calibri" w:eastAsia="Calibri" w:hAnsi="Calibri" w:cs="Calibri"/>
        </w:rPr>
      </w:pPr>
      <w:r>
        <w:rPr>
          <w:rFonts w:ascii="Calibri" w:eastAsia="Calibri" w:hAnsi="Calibri" w:cs="Calibri"/>
        </w:rPr>
        <w:t xml:space="preserve">Tamaño muestral global: Se entrevistó a un total de 45.000 individuos. </w:t>
      </w:r>
    </w:p>
    <w:p w14:paraId="0000004B" w14:textId="77777777" w:rsidR="005B4244" w:rsidRDefault="00000000">
      <w:pPr>
        <w:spacing w:line="278" w:lineRule="auto"/>
        <w:jc w:val="both"/>
        <w:rPr>
          <w:rFonts w:ascii="Calibri" w:eastAsia="Calibri" w:hAnsi="Calibri" w:cs="Calibri"/>
        </w:rPr>
      </w:pPr>
      <w:r>
        <w:rPr>
          <w:rFonts w:ascii="Calibri" w:eastAsia="Calibri" w:hAnsi="Calibri" w:cs="Calibri"/>
        </w:rPr>
        <w:t>Trabajo de campo del estudio: noviembre 2025 - febrero 2026</w:t>
      </w:r>
    </w:p>
    <w:p w14:paraId="0000004C" w14:textId="77777777" w:rsidR="005B4244" w:rsidRDefault="00000000">
      <w:pPr>
        <w:spacing w:line="278" w:lineRule="auto"/>
        <w:jc w:val="both"/>
        <w:rPr>
          <w:rFonts w:ascii="Calibri" w:eastAsia="Calibri" w:hAnsi="Calibri" w:cs="Calibri"/>
        </w:rPr>
      </w:pPr>
      <w:r>
        <w:rPr>
          <w:rFonts w:ascii="Calibri" w:eastAsia="Calibri" w:hAnsi="Calibri" w:cs="Calibri"/>
        </w:rPr>
        <w:t>En Argentina se realizaron 1007 encuestas autoadministradas de manera online entre población adulta de 18 años y más a nivel nacional.</w:t>
      </w:r>
    </w:p>
    <w:p w14:paraId="0000004D" w14:textId="77777777" w:rsidR="005B4244" w:rsidRDefault="00000000">
      <w:pPr>
        <w:spacing w:line="278" w:lineRule="auto"/>
        <w:jc w:val="both"/>
        <w:rPr>
          <w:rFonts w:ascii="Calibri" w:eastAsia="Calibri" w:hAnsi="Calibri" w:cs="Calibri"/>
        </w:rPr>
      </w:pPr>
      <w:r>
        <w:rPr>
          <w:rFonts w:ascii="Calibri" w:eastAsia="Calibri" w:hAnsi="Calibri" w:cs="Calibri"/>
        </w:rPr>
        <w:t>Fecha de trabajo de campo en Argentina: enero 2026</w:t>
      </w:r>
    </w:p>
    <w:p w14:paraId="0000004E" w14:textId="77777777" w:rsidR="005B4244" w:rsidRDefault="005B4244">
      <w:pPr>
        <w:spacing w:line="278" w:lineRule="auto"/>
        <w:jc w:val="both"/>
        <w:rPr>
          <w:rFonts w:ascii="Calibri" w:eastAsia="Calibri" w:hAnsi="Calibri" w:cs="Calibri"/>
        </w:rPr>
      </w:pPr>
    </w:p>
    <w:p w14:paraId="0000004F" w14:textId="77777777" w:rsidR="005B4244" w:rsidRDefault="00000000">
      <w:pPr>
        <w:spacing w:line="278" w:lineRule="auto"/>
        <w:jc w:val="both"/>
        <w:rPr>
          <w:rFonts w:ascii="Calibri" w:eastAsia="Calibri" w:hAnsi="Calibri" w:cs="Calibri"/>
        </w:rPr>
      </w:pPr>
      <w:r>
        <w:rPr>
          <w:rFonts w:ascii="Calibri" w:eastAsia="Calibri" w:hAnsi="Calibri" w:cs="Calibri"/>
          <w:b/>
          <w:bCs/>
        </w:rPr>
        <w:t>Acerca de Voices!</w:t>
      </w:r>
    </w:p>
    <w:p w14:paraId="00000050" w14:textId="77777777" w:rsidR="005B4244" w:rsidRDefault="00000000">
      <w:pPr>
        <w:spacing w:line="278" w:lineRule="auto"/>
        <w:jc w:val="both"/>
        <w:rPr>
          <w:rFonts w:ascii="Calibri" w:eastAsia="Calibri" w:hAnsi="Calibri" w:cs="Calibri"/>
        </w:rPr>
      </w:pPr>
      <w:r>
        <w:rPr>
          <w:rFonts w:ascii="Calibri" w:eastAsia="Calibri" w:hAnsi="Calibri" w:cs="Calibri"/>
        </w:rPr>
        <w:t>Voices! Research &amp; Consultancy es una empresa con foco en la investigación social, política y de mercado, con el objetivo de proporcionar consultoría a las organizaciones usando rigurosas metodologías y enfoques innovadores. El equipo de VOICES! tiene una amplia experiencia en estudios nacionales e internacionales y ha participado en las investigaciones con encuestas más importantes del mundo.</w:t>
      </w:r>
    </w:p>
    <w:p w14:paraId="00000051" w14:textId="77777777" w:rsidR="005B4244" w:rsidRDefault="00000000">
      <w:pPr>
        <w:spacing w:line="278" w:lineRule="auto"/>
        <w:jc w:val="both"/>
        <w:rPr>
          <w:rFonts w:ascii="Calibri" w:eastAsia="Calibri" w:hAnsi="Calibri" w:cs="Calibri"/>
        </w:rPr>
      </w:pPr>
      <w:r>
        <w:rPr>
          <w:rFonts w:ascii="Calibri" w:eastAsia="Calibri" w:hAnsi="Calibri" w:cs="Calibri"/>
        </w:rPr>
        <w:t>Voices! es integrante de la red realizando los estudios en Argentina.</w:t>
      </w:r>
    </w:p>
    <w:p w14:paraId="00000052" w14:textId="77777777" w:rsidR="005B4244" w:rsidRPr="00B46011" w:rsidRDefault="005B4244">
      <w:pPr>
        <w:spacing w:line="278" w:lineRule="auto"/>
        <w:jc w:val="both"/>
        <w:rPr>
          <w:rFonts w:ascii="Calibri" w:eastAsia="Calibri" w:hAnsi="Calibri" w:cs="Calibri"/>
          <w:b/>
          <w:bCs/>
        </w:rPr>
      </w:pPr>
      <w:hyperlink r:id="rId12">
        <w:r w:rsidRPr="00B46011">
          <w:rPr>
            <w:rFonts w:ascii="Calibri" w:eastAsia="Calibri" w:hAnsi="Calibri" w:cs="Calibri"/>
            <w:color w:val="467886"/>
            <w:u w:val="single"/>
          </w:rPr>
          <w:t>http://www.voicesconsultancy.com/</w:t>
        </w:r>
      </w:hyperlink>
      <w:r w:rsidRPr="00B46011">
        <w:rPr>
          <w:rFonts w:ascii="Calibri" w:eastAsia="Calibri" w:hAnsi="Calibri" w:cs="Calibri"/>
        </w:rPr>
        <w:t>  </w:t>
      </w:r>
    </w:p>
    <w:p w14:paraId="00000053" w14:textId="77777777" w:rsidR="005B4244" w:rsidRPr="00B46011" w:rsidRDefault="005B4244">
      <w:pPr>
        <w:spacing w:line="278" w:lineRule="auto"/>
        <w:jc w:val="both"/>
        <w:rPr>
          <w:rFonts w:ascii="Calibri" w:eastAsia="Calibri" w:hAnsi="Calibri" w:cs="Calibri"/>
          <w:b/>
          <w:bCs/>
        </w:rPr>
      </w:pPr>
    </w:p>
    <w:p w14:paraId="00000054" w14:textId="77777777" w:rsidR="005B4244" w:rsidRPr="00B46011" w:rsidRDefault="00000000">
      <w:pPr>
        <w:spacing w:line="278" w:lineRule="auto"/>
        <w:jc w:val="both"/>
        <w:rPr>
          <w:rFonts w:ascii="Calibri" w:eastAsia="Calibri" w:hAnsi="Calibri" w:cs="Calibri"/>
        </w:rPr>
      </w:pPr>
      <w:r w:rsidRPr="00B46011">
        <w:rPr>
          <w:rFonts w:ascii="Calibri" w:eastAsia="Calibri" w:hAnsi="Calibri" w:cs="Calibri"/>
          <w:b/>
          <w:bCs/>
        </w:rPr>
        <w:t>Contacto Voices!:</w:t>
      </w:r>
    </w:p>
    <w:p w14:paraId="00000055" w14:textId="77777777" w:rsidR="005B4244" w:rsidRDefault="00000000">
      <w:pPr>
        <w:spacing w:line="278" w:lineRule="auto"/>
        <w:jc w:val="both"/>
        <w:rPr>
          <w:rFonts w:ascii="Calibri" w:eastAsia="Calibri" w:hAnsi="Calibri" w:cs="Calibri"/>
        </w:rPr>
      </w:pPr>
      <w:r>
        <w:rPr>
          <w:rFonts w:ascii="Calibri" w:eastAsia="Calibri" w:hAnsi="Calibri" w:cs="Calibri"/>
        </w:rPr>
        <w:t>Constanza Cilley | Directora Ejecutiva VOICES!</w:t>
      </w:r>
    </w:p>
    <w:p w14:paraId="00000056" w14:textId="77777777" w:rsidR="005B4244" w:rsidRDefault="005B4244">
      <w:pPr>
        <w:spacing w:line="278" w:lineRule="auto"/>
        <w:jc w:val="both"/>
        <w:rPr>
          <w:rFonts w:ascii="Calibri" w:eastAsia="Calibri" w:hAnsi="Calibri" w:cs="Calibri"/>
        </w:rPr>
      </w:pPr>
      <w:hyperlink r:id="rId13">
        <w:r>
          <w:rPr>
            <w:rFonts w:ascii="Calibri" w:eastAsia="Calibri" w:hAnsi="Calibri" w:cs="Calibri"/>
            <w:color w:val="467886"/>
            <w:u w:val="single"/>
          </w:rPr>
          <w:t>constanzacilley@voicesconsultancy.com</w:t>
        </w:r>
      </w:hyperlink>
    </w:p>
    <w:p w14:paraId="00000057" w14:textId="77777777" w:rsidR="005B4244" w:rsidRDefault="00000000">
      <w:pPr>
        <w:spacing w:line="278" w:lineRule="auto"/>
        <w:jc w:val="both"/>
        <w:rPr>
          <w:rFonts w:ascii="Calibri" w:eastAsia="Calibri" w:hAnsi="Calibri" w:cs="Calibri"/>
          <w:b/>
          <w:bCs/>
        </w:rPr>
      </w:pPr>
      <w:r>
        <w:rPr>
          <w:rFonts w:ascii="Calibri" w:eastAsia="Calibri" w:hAnsi="Calibri" w:cs="Calibri"/>
        </w:rPr>
        <w:t>Cel: 1565724467</w:t>
      </w:r>
    </w:p>
    <w:p w14:paraId="00000058" w14:textId="77777777" w:rsidR="005B4244" w:rsidRDefault="005B4244">
      <w:pPr>
        <w:spacing w:before="240" w:after="240"/>
        <w:jc w:val="both"/>
        <w:rPr>
          <w:rFonts w:ascii="Calibri" w:eastAsia="Calibri" w:hAnsi="Calibri" w:cs="Calibri"/>
          <w:i/>
          <w:iCs/>
        </w:rPr>
      </w:pPr>
    </w:p>
    <w:sectPr w:rsidR="005B4244" w:rsidSect="00B46011">
      <w:headerReference w:type="default" r:id="rId14"/>
      <w:pgSz w:w="11906" w:h="16838"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B7928" w14:textId="77777777" w:rsidR="00AA2B2E" w:rsidRDefault="00AA2B2E">
      <w:pPr>
        <w:spacing w:line="240" w:lineRule="auto"/>
      </w:pPr>
      <w:r>
        <w:separator/>
      </w:r>
    </w:p>
  </w:endnote>
  <w:endnote w:type="continuationSeparator" w:id="0">
    <w:p w14:paraId="198408ED" w14:textId="77777777" w:rsidR="00AA2B2E" w:rsidRDefault="00AA2B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47AE707-898D-4E58-8F0B-50A86DCDF2A3}"/>
    <w:embedBold r:id="rId2" w:fontKey="{4D5DB226-26F3-40D1-9E0B-245B11FEC872}"/>
    <w:embedItalic r:id="rId3" w:fontKey="{26338195-6F5E-40D6-A8A4-83F91A3F240B}"/>
    <w:embedBoldItalic r:id="rId4" w:fontKey="{16E42F10-EBB0-48B4-8360-20F014E281D2}"/>
  </w:font>
  <w:font w:name="Cambria">
    <w:panose1 w:val="02040503050406030204"/>
    <w:charset w:val="00"/>
    <w:family w:val="roman"/>
    <w:pitch w:val="variable"/>
    <w:sig w:usb0="E00006FF" w:usb1="420024FF" w:usb2="02000000" w:usb3="00000000" w:csb0="0000019F" w:csb1="00000000"/>
    <w:embedRegular r:id="rId5" w:fontKey="{21F0885D-E22D-49CF-8810-3F4221AFDDD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B6A34" w14:textId="77777777" w:rsidR="00AA2B2E" w:rsidRDefault="00AA2B2E">
      <w:pPr>
        <w:spacing w:line="240" w:lineRule="auto"/>
      </w:pPr>
      <w:r>
        <w:separator/>
      </w:r>
    </w:p>
  </w:footnote>
  <w:footnote w:type="continuationSeparator" w:id="0">
    <w:p w14:paraId="4F8F0D3C" w14:textId="77777777" w:rsidR="00AA2B2E" w:rsidRDefault="00AA2B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5B4244" w:rsidRDefault="00000000">
    <w:pPr>
      <w:tabs>
        <w:tab w:val="center" w:pos="4252"/>
        <w:tab w:val="right" w:pos="8504"/>
      </w:tabs>
      <w:spacing w:line="240" w:lineRule="auto"/>
      <w:rPr>
        <w:rFonts w:ascii="Calibri" w:eastAsia="Calibri" w:hAnsi="Calibri" w:cs="Calibri"/>
      </w:rPr>
    </w:pPr>
    <w:r>
      <w:rPr>
        <w:rFonts w:ascii="Calibri" w:eastAsia="Calibri" w:hAnsi="Calibri" w:cs="Calibri"/>
        <w:noProof/>
      </w:rPr>
      <w:drawing>
        <wp:inline distT="0" distB="0" distL="0" distR="0" wp14:anchorId="2EC46202" wp14:editId="3EF0AF7B">
          <wp:extent cx="1013716" cy="736197"/>
          <wp:effectExtent l="0" t="0" r="0" b="0"/>
          <wp:docPr id="2063848319" name="image1.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El contenido generado por IA puede ser incorrecto."/>
                  <pic:cNvPicPr preferRelativeResize="0"/>
                </pic:nvPicPr>
                <pic:blipFill>
                  <a:blip r:embed="rId1"/>
                  <a:srcRect/>
                  <a:stretch>
                    <a:fillRect/>
                  </a:stretch>
                </pic:blipFill>
                <pic:spPr>
                  <a:xfrm>
                    <a:off x="0" y="0"/>
                    <a:ext cx="1013716" cy="736197"/>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rPr>
      <w:tab/>
    </w:r>
    <w:r>
      <w:rPr>
        <w:rFonts w:ascii="Calibri" w:eastAsia="Calibri" w:hAnsi="Calibri" w:cs="Calibri"/>
      </w:rPr>
      <w:tab/>
      <w:t xml:space="preserve">                                                                       </w:t>
    </w:r>
    <w:r>
      <w:rPr>
        <w:rFonts w:ascii="Calibri" w:eastAsia="Calibri" w:hAnsi="Calibri" w:cs="Calibri"/>
        <w:noProof/>
      </w:rPr>
      <w:drawing>
        <wp:inline distT="0" distB="0" distL="0" distR="0" wp14:anchorId="3288E9D6" wp14:editId="497F7CA6">
          <wp:extent cx="1683502" cy="548316"/>
          <wp:effectExtent l="0" t="0" r="0" b="0"/>
          <wp:docPr id="2063848318" name="image2.jp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jpg" descr="Logotipo&#10;&#10;El contenido generado por IA puede ser incorrecto."/>
                  <pic:cNvPicPr preferRelativeResize="0"/>
                </pic:nvPicPr>
                <pic:blipFill>
                  <a:blip r:embed="rId2"/>
                  <a:srcRect/>
                  <a:stretch>
                    <a:fillRect/>
                  </a:stretch>
                </pic:blipFill>
                <pic:spPr>
                  <a:xfrm>
                    <a:off x="0" y="0"/>
                    <a:ext cx="1683502" cy="548316"/>
                  </a:xfrm>
                  <a:prstGeom prst="rect">
                    <a:avLst/>
                  </a:prstGeom>
                  <a:ln/>
                </pic:spPr>
              </pic:pic>
            </a:graphicData>
          </a:graphic>
        </wp:inline>
      </w:drawing>
    </w:r>
  </w:p>
  <w:p w14:paraId="0000005A" w14:textId="77777777" w:rsidR="005B4244" w:rsidRDefault="00000000">
    <w:pPr>
      <w:tabs>
        <w:tab w:val="center" w:pos="4252"/>
        <w:tab w:val="right" w:pos="8504"/>
      </w:tabs>
      <w:spacing w:line="240" w:lineRule="auto"/>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B36A0"/>
    <w:multiLevelType w:val="multilevel"/>
    <w:tmpl w:val="B312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783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244"/>
    <w:rsid w:val="0008745A"/>
    <w:rsid w:val="000A4D44"/>
    <w:rsid w:val="000D0A80"/>
    <w:rsid w:val="001068B1"/>
    <w:rsid w:val="00112088"/>
    <w:rsid w:val="00144B02"/>
    <w:rsid w:val="001D0150"/>
    <w:rsid w:val="001D4255"/>
    <w:rsid w:val="00201DA5"/>
    <w:rsid w:val="00253E82"/>
    <w:rsid w:val="002B0AE6"/>
    <w:rsid w:val="002C3C2D"/>
    <w:rsid w:val="002C5EC2"/>
    <w:rsid w:val="002F572D"/>
    <w:rsid w:val="00335253"/>
    <w:rsid w:val="00353D2B"/>
    <w:rsid w:val="00355D40"/>
    <w:rsid w:val="0037697B"/>
    <w:rsid w:val="00384AC7"/>
    <w:rsid w:val="00497880"/>
    <w:rsid w:val="004B0176"/>
    <w:rsid w:val="004B590D"/>
    <w:rsid w:val="004D741E"/>
    <w:rsid w:val="00554D0E"/>
    <w:rsid w:val="005561F2"/>
    <w:rsid w:val="005B4244"/>
    <w:rsid w:val="00607FC8"/>
    <w:rsid w:val="00773A5C"/>
    <w:rsid w:val="007A6782"/>
    <w:rsid w:val="007B5715"/>
    <w:rsid w:val="007D64CA"/>
    <w:rsid w:val="008B1005"/>
    <w:rsid w:val="008B76E6"/>
    <w:rsid w:val="008D058C"/>
    <w:rsid w:val="009B1168"/>
    <w:rsid w:val="009C5F21"/>
    <w:rsid w:val="009D4312"/>
    <w:rsid w:val="00A55B23"/>
    <w:rsid w:val="00AA2B2E"/>
    <w:rsid w:val="00AD1520"/>
    <w:rsid w:val="00B07E1D"/>
    <w:rsid w:val="00B46011"/>
    <w:rsid w:val="00B57850"/>
    <w:rsid w:val="00BE4974"/>
    <w:rsid w:val="00C0063E"/>
    <w:rsid w:val="00C42B33"/>
    <w:rsid w:val="00C47130"/>
    <w:rsid w:val="00CB2EAC"/>
    <w:rsid w:val="00CC15C7"/>
    <w:rsid w:val="00D13D7E"/>
    <w:rsid w:val="00DB1DF6"/>
    <w:rsid w:val="00E33A1C"/>
    <w:rsid w:val="00E55169"/>
    <w:rsid w:val="00E57AC5"/>
    <w:rsid w:val="00E63915"/>
    <w:rsid w:val="00E67383"/>
    <w:rsid w:val="00EE4863"/>
    <w:rsid w:val="00F13373"/>
    <w:rsid w:val="00F5579A"/>
    <w:rsid w:val="00F66AB7"/>
    <w:rsid w:val="00F82F19"/>
    <w:rsid w:val="00FB132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9FB30"/>
  <w15:docId w15:val="{FF2D90D5-10B1-41E4-9F4E-0F581317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7074E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074E6"/>
  </w:style>
  <w:style w:type="paragraph" w:styleId="Piedepgina">
    <w:name w:val="footer"/>
    <w:basedOn w:val="Normal"/>
    <w:link w:val="PiedepginaCar"/>
    <w:uiPriority w:val="99"/>
    <w:unhideWhenUsed/>
    <w:rsid w:val="007074E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074E6"/>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table" w:styleId="Tablaconcuadrcula">
    <w:name w:val="Table Grid"/>
    <w:basedOn w:val="Tablanormal"/>
    <w:uiPriority w:val="39"/>
    <w:rsid w:val="0021615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untodelcomentario">
    <w:name w:val="annotation subject"/>
    <w:basedOn w:val="Textocomentario"/>
    <w:next w:val="Textocomentario"/>
    <w:link w:val="AsuntodelcomentarioCar"/>
    <w:uiPriority w:val="99"/>
    <w:semiHidden/>
    <w:unhideWhenUsed/>
    <w:rsid w:val="00712D85"/>
    <w:rPr>
      <w:b/>
      <w:bCs/>
    </w:rPr>
  </w:style>
  <w:style w:type="character" w:customStyle="1" w:styleId="AsuntodelcomentarioCar">
    <w:name w:val="Asunto del comentario Car"/>
    <w:basedOn w:val="TextocomentarioCar"/>
    <w:link w:val="Asuntodelcomentario"/>
    <w:uiPriority w:val="99"/>
    <w:semiHidden/>
    <w:rsid w:val="00712D85"/>
    <w:rPr>
      <w:b/>
      <w:bCs/>
      <w:sz w:val="20"/>
      <w:szCs w:val="20"/>
    </w:rPr>
  </w:style>
  <w:style w:type="paragraph" w:styleId="NormalWeb">
    <w:name w:val="Normal (Web)"/>
    <w:basedOn w:val="Normal"/>
    <w:uiPriority w:val="99"/>
    <w:semiHidden/>
    <w:unhideWhenUsed/>
    <w:rsid w:val="00D60933"/>
    <w:rPr>
      <w:rFonts w:ascii="Times New Roman" w:hAnsi="Times New Roman" w:cs="Times New Roman"/>
      <w:sz w:val="24"/>
      <w:szCs w:val="24"/>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nstanzacilley@voicesconsultancy.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voicesconsultanc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dk2" tx2="lt2" accent1="accent1" accent2="accent2" accent3="accent3" accent4="accent4" accent5="accent5" accent6="accent6" hlink="hlink" folHlink="folHlink"/>
  <c:chart>
    <c:autoTitleDeleted val="1"/>
    <c:plotArea>
      <c:layout>
        <c:manualLayout>
          <c:layoutTarget val="inner"/>
          <c:xMode val="edge"/>
          <c:yMode val="edge"/>
          <c:x val="1.5320856796708242E-2"/>
          <c:y val="0.12880182660094316"/>
          <c:w val="0.98467914320329175"/>
          <c:h val="0.63389603738557077"/>
        </c:manualLayout>
      </c:layout>
      <c:barChart>
        <c:barDir val="col"/>
        <c:grouping val="percentStacked"/>
        <c:varyColors val="0"/>
        <c:ser>
          <c:idx val="0"/>
          <c:order val="0"/>
          <c:tx>
            <c:strRef>
              <c:f>Hoja1!$B$1</c:f>
              <c:strCache>
                <c:ptCount val="1"/>
                <c:pt idx="0">
                  <c:v>Siempre/ con mucha frecuencia + Regularmente</c:v>
                </c:pt>
              </c:strCache>
            </c:strRef>
          </c:tx>
          <c:spPr>
            <a:solidFill>
              <a:schemeClr val="accent1"/>
            </a:solidFill>
            <a:ln>
              <a:noFill/>
            </a:ln>
            <a:effectLst/>
          </c:spPr>
          <c:invertIfNegative val="0"/>
          <c:dLbls>
            <c:dLbl>
              <c:idx val="3"/>
              <c:layout>
                <c:manualLayout>
                  <c:x val="-1.3928051633371129E-3"/>
                  <c:y val="-5.75109649574204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12E-479F-BCCF-CE815A500A93}"/>
                </c:ext>
              </c:extLst>
            </c:dLbl>
            <c:dLbl>
              <c:idx val="5"/>
              <c:layout>
                <c:manualLayout>
                  <c:x val="-5.5712206533484647E-3"/>
                  <c:y val="4.9668560645044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12E-479F-BCCF-CE815A500A93}"/>
                </c:ext>
              </c:extLst>
            </c:dLbl>
            <c:dLbl>
              <c:idx val="6"/>
              <c:layout>
                <c:manualLayout>
                  <c:x val="1.3928051633371129E-3"/>
                  <c:y val="-4.7054425874253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12E-479F-BCCF-CE815A500A93}"/>
                </c:ext>
              </c:extLst>
            </c:dLbl>
            <c:dLbl>
              <c:idx val="7"/>
              <c:layout>
                <c:manualLayout>
                  <c:x val="-2.7856103266742259E-3"/>
                  <c:y val="3.3983752020293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12E-479F-BCCF-CE815A500A93}"/>
                </c:ext>
              </c:extLst>
            </c:dLbl>
            <c:dLbl>
              <c:idx val="9"/>
              <c:layout>
                <c:manualLayout>
                  <c:x val="-1.3928051633371385E-3"/>
                  <c:y val="-5.4896830186628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12E-479F-BCCF-CE815A500A93}"/>
                </c:ext>
              </c:extLst>
            </c:dLbl>
            <c:dLbl>
              <c:idx val="11"/>
              <c:layout>
                <c:manualLayout>
                  <c:x val="-2.7856103266742003E-3"/>
                  <c:y val="2.8755482478710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12E-479F-BCCF-CE815A500A93}"/>
                </c:ext>
              </c:extLst>
            </c:dLbl>
            <c:dLbl>
              <c:idx val="12"/>
              <c:layout>
                <c:manualLayout>
                  <c:x val="0"/>
                  <c:y val="-3.92120215618776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12E-479F-BCCF-CE815A500A93}"/>
                </c:ext>
              </c:extLst>
            </c:dLbl>
            <c:dLbl>
              <c:idx val="13"/>
              <c:layout>
                <c:manualLayout>
                  <c:x val="1.3928051633371129E-3"/>
                  <c:y val="6.01250997282122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12E-479F-BCCF-CE815A500A93}"/>
                </c:ext>
              </c:extLst>
            </c:dLbl>
            <c:dLbl>
              <c:idx val="15"/>
              <c:layout>
                <c:manualLayout>
                  <c:x val="-3.060835771028021E-3"/>
                  <c:y val="3.39838648151627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12E-479F-BCCF-CE815A500A93}"/>
                </c:ext>
              </c:extLst>
            </c:dLbl>
            <c:dLbl>
              <c:idx val="17"/>
              <c:layout>
                <c:manualLayout>
                  <c:x val="1.3928051633371639E-3"/>
                  <c:y val="-5.75109649574205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12E-479F-BCCF-CE815A500A93}"/>
                </c:ext>
              </c:extLst>
            </c:dLbl>
            <c:dLbl>
              <c:idx val="19"/>
              <c:layout>
                <c:manualLayout>
                  <c:x val="0"/>
                  <c:y val="4.44402911034612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12E-479F-BCCF-CE815A500A93}"/>
                </c:ext>
              </c:extLst>
            </c:dLbl>
            <c:dLbl>
              <c:idx val="20"/>
              <c:layout>
                <c:manualLayout>
                  <c:x val="1.3928051633370108E-3"/>
                  <c:y val="-2.3527212937126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12E-479F-BCCF-CE815A500A93}"/>
                </c:ext>
              </c:extLst>
            </c:dLbl>
            <c:dLbl>
              <c:idx val="22"/>
              <c:layout>
                <c:manualLayout>
                  <c:x val="0"/>
                  <c:y val="-4.7054425874253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12E-479F-BCCF-CE815A500A93}"/>
                </c:ext>
              </c:extLst>
            </c:dLbl>
            <c:dLbl>
              <c:idx val="23"/>
              <c:layout>
                <c:manualLayout>
                  <c:x val="0"/>
                  <c:y val="5.7510964957420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12E-479F-BCCF-CE815A500A93}"/>
                </c:ext>
              </c:extLst>
            </c:dLbl>
            <c:dLbl>
              <c:idx val="25"/>
              <c:layout>
                <c:manualLayout>
                  <c:x val="-1.0213786540605134E-16"/>
                  <c:y val="4.9668560645044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12E-479F-BCCF-CE815A500A93}"/>
                </c:ext>
              </c:extLst>
            </c:dLbl>
            <c:dLbl>
              <c:idx val="26"/>
              <c:layout>
                <c:manualLayout>
                  <c:x val="-2.7856103266743278E-3"/>
                  <c:y val="-3.3983752020293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12E-479F-BCCF-CE815A500A93}"/>
                </c:ext>
              </c:extLst>
            </c:dLbl>
            <c:dLbl>
              <c:idx val="28"/>
              <c:layout>
                <c:manualLayout>
                  <c:x val="0"/>
                  <c:y val="5.22826954158367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12E-479F-BCCF-CE815A500A93}"/>
                </c:ext>
              </c:extLst>
            </c:dLbl>
            <c:dLbl>
              <c:idx val="30"/>
              <c:layout>
                <c:manualLayout>
                  <c:x val="1.3928051633370108E-3"/>
                  <c:y val="-4.44402911034612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12E-479F-BCCF-CE815A500A93}"/>
                </c:ext>
              </c:extLst>
            </c:dLbl>
            <c:dLbl>
              <c:idx val="32"/>
              <c:layout>
                <c:manualLayout>
                  <c:x val="-1.3928051633372151E-3"/>
                  <c:y val="3.92120215618775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12E-479F-BCCF-CE815A500A93}"/>
                </c:ext>
              </c:extLst>
            </c:dLbl>
            <c:dLbl>
              <c:idx val="34"/>
              <c:layout>
                <c:manualLayout>
                  <c:x val="1.1142441306696801E-2"/>
                  <c:y val="2.8755482478710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12E-479F-BCCF-CE815A500A93}"/>
                </c:ext>
              </c:extLst>
            </c:dLbl>
            <c:dLbl>
              <c:idx val="35"/>
              <c:layout>
                <c:manualLayout>
                  <c:x val="4.1784154900114407E-3"/>
                  <c:y val="-2.3527212937126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12E-479F-BCCF-CE815A500A93}"/>
                </c:ext>
              </c:extLst>
            </c:dLbl>
            <c:dLbl>
              <c:idx val="37"/>
              <c:layout>
                <c:manualLayout>
                  <c:x val="2.7856103266742259E-3"/>
                  <c:y val="-3.13696172495020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12E-479F-BCCF-CE815A500A93}"/>
                </c:ext>
              </c:extLst>
            </c:dLbl>
            <c:dLbl>
              <c:idx val="38"/>
              <c:layout>
                <c:manualLayout>
                  <c:x val="2.7856103266742259E-3"/>
                  <c:y val="7.0581638811379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12E-479F-BCCF-CE815A500A93}"/>
                </c:ext>
              </c:extLst>
            </c:dLbl>
            <c:dLbl>
              <c:idx val="40"/>
              <c:layout>
                <c:manualLayout>
                  <c:x val="-4.1784154900113384E-3"/>
                  <c:y val="-5.48968301866286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12E-479F-BCCF-CE815A500A93}"/>
                </c:ext>
              </c:extLst>
            </c:dLbl>
            <c:dLbl>
              <c:idx val="42"/>
              <c:layout>
                <c:manualLayout>
                  <c:x val="3.7350539515893844E-3"/>
                  <c:y val="3.6597958588509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12E-479F-BCCF-CE815A500A93}"/>
                </c:ext>
              </c:extLst>
            </c:dLbl>
            <c:dLbl>
              <c:idx val="43"/>
              <c:layout>
                <c:manualLayout>
                  <c:x val="2.7543015456399926E-3"/>
                  <c:y val="-2.1434354039078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12E-479F-BCCF-CE815A500A93}"/>
                </c:ext>
              </c:extLst>
            </c:dLbl>
            <c:spPr>
              <a:noFill/>
              <a:ln>
                <a:noFill/>
              </a:ln>
              <a:effectLst/>
            </c:spPr>
            <c:txPr>
              <a:bodyPr rot="-5400000" spcFirstLastPara="1" vertOverflow="ellipsis"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Hoja1!$A$2:$A$47</c:f>
              <c:strCache>
                <c:ptCount val="46"/>
                <c:pt idx="0">
                  <c:v>TOTAL</c:v>
                </c:pt>
                <c:pt idx="1">
                  <c:v>Turquía</c:v>
                </c:pt>
                <c:pt idx="2">
                  <c:v>Serbia</c:v>
                </c:pt>
                <c:pt idx="3">
                  <c:v>Japón</c:v>
                </c:pt>
                <c:pt idx="4">
                  <c:v>Chile</c:v>
                </c:pt>
                <c:pt idx="5">
                  <c:v>Costa de Marfil</c:v>
                </c:pt>
                <c:pt idx="6">
                  <c:v>Ecuador</c:v>
                </c:pt>
                <c:pt idx="7">
                  <c:v>Corea del Sur</c:v>
                </c:pt>
                <c:pt idx="8">
                  <c:v>Estados Unidos</c:v>
                </c:pt>
                <c:pt idx="9">
                  <c:v>Grecia</c:v>
                </c:pt>
                <c:pt idx="10">
                  <c:v>Marruecos</c:v>
                </c:pt>
                <c:pt idx="11">
                  <c:v>Croacia</c:v>
                </c:pt>
                <c:pt idx="12">
                  <c:v>Suecia</c:v>
                </c:pt>
                <c:pt idx="13">
                  <c:v>Argentina</c:v>
                </c:pt>
                <c:pt idx="14">
                  <c:v>Letonia</c:v>
                </c:pt>
                <c:pt idx="15">
                  <c:v>India</c:v>
                </c:pt>
                <c:pt idx="16">
                  <c:v>Paraguay</c:v>
                </c:pt>
                <c:pt idx="17">
                  <c:v>Canadá</c:v>
                </c:pt>
                <c:pt idx="18">
                  <c:v>Eslovenia</c:v>
                </c:pt>
                <c:pt idx="19">
                  <c:v>Pakistán</c:v>
                </c:pt>
                <c:pt idx="20">
                  <c:v>Reino Unido</c:v>
                </c:pt>
                <c:pt idx="21">
                  <c:v>Alemania</c:v>
                </c:pt>
                <c:pt idx="22">
                  <c:v>Colombia</c:v>
                </c:pt>
                <c:pt idx="23">
                  <c:v>Filipinas</c:v>
                </c:pt>
                <c:pt idx="24">
                  <c:v>Finlandia</c:v>
                </c:pt>
                <c:pt idx="25">
                  <c:v>Indonesia</c:v>
                </c:pt>
                <c:pt idx="26">
                  <c:v>Irlanda</c:v>
                </c:pt>
                <c:pt idx="27">
                  <c:v>México</c:v>
                </c:pt>
                <c:pt idx="28">
                  <c:v>Noruega</c:v>
                </c:pt>
                <c:pt idx="29">
                  <c:v>Tailandia</c:v>
                </c:pt>
                <c:pt idx="30">
                  <c:v>Brasil</c:v>
                </c:pt>
                <c:pt idx="31">
                  <c:v>Italia</c:v>
                </c:pt>
                <c:pt idx="32">
                  <c:v>Francia</c:v>
                </c:pt>
                <c:pt idx="33">
                  <c:v>Venezuela</c:v>
                </c:pt>
                <c:pt idx="34">
                  <c:v>España</c:v>
                </c:pt>
                <c:pt idx="35">
                  <c:v>Hong Kong</c:v>
                </c:pt>
                <c:pt idx="36">
                  <c:v>Malasia</c:v>
                </c:pt>
                <c:pt idx="37">
                  <c:v>Perú</c:v>
                </c:pt>
                <c:pt idx="38">
                  <c:v>Australia</c:v>
                </c:pt>
                <c:pt idx="39">
                  <c:v>Eslovaquia</c:v>
                </c:pt>
                <c:pt idx="40">
                  <c:v>Países Bajos</c:v>
                </c:pt>
                <c:pt idx="41">
                  <c:v>Georgia</c:v>
                </c:pt>
                <c:pt idx="42">
                  <c:v>Polonia</c:v>
                </c:pt>
                <c:pt idx="43">
                  <c:v>Dinamarca</c:v>
                </c:pt>
                <c:pt idx="44">
                  <c:v>China</c:v>
                </c:pt>
                <c:pt idx="45">
                  <c:v>Vietnam</c:v>
                </c:pt>
              </c:strCache>
            </c:strRef>
          </c:cat>
          <c:val>
            <c:numRef>
              <c:f>Hoja1!$B$2:$B$47</c:f>
              <c:numCache>
                <c:formatCode>###0%</c:formatCode>
                <c:ptCount val="46"/>
                <c:pt idx="0">
                  <c:v>0.41744264101004974</c:v>
                </c:pt>
                <c:pt idx="1">
                  <c:v>0.69510589115122423</c:v>
                </c:pt>
                <c:pt idx="2">
                  <c:v>0.60941105295885056</c:v>
                </c:pt>
                <c:pt idx="3">
                  <c:v>0.57054969907581843</c:v>
                </c:pt>
                <c:pt idx="4">
                  <c:v>0.55879648995732201</c:v>
                </c:pt>
                <c:pt idx="5">
                  <c:v>0.55577689243027739</c:v>
                </c:pt>
                <c:pt idx="6">
                  <c:v>0.54549261717899944</c:v>
                </c:pt>
                <c:pt idx="7">
                  <c:v>0.52997403421850831</c:v>
                </c:pt>
                <c:pt idx="8">
                  <c:v>0.52429366150945378</c:v>
                </c:pt>
                <c:pt idx="9">
                  <c:v>0.52191235059760788</c:v>
                </c:pt>
                <c:pt idx="10">
                  <c:v>0.51374207188160514</c:v>
                </c:pt>
                <c:pt idx="11">
                  <c:v>0.5020315794800998</c:v>
                </c:pt>
                <c:pt idx="12">
                  <c:v>0.49918027370705964</c:v>
                </c:pt>
                <c:pt idx="13">
                  <c:v>0.49862203507465325</c:v>
                </c:pt>
                <c:pt idx="14">
                  <c:v>0.4879607612443872</c:v>
                </c:pt>
                <c:pt idx="15">
                  <c:v>0.47399999999999998</c:v>
                </c:pt>
                <c:pt idx="16">
                  <c:v>0.47242463237491189</c:v>
                </c:pt>
                <c:pt idx="17">
                  <c:v>0.44604752836224676</c:v>
                </c:pt>
                <c:pt idx="18">
                  <c:v>0.44366946052403411</c:v>
                </c:pt>
                <c:pt idx="19">
                  <c:v>0.42463598966734717</c:v>
                </c:pt>
                <c:pt idx="20">
                  <c:v>0.42413732438614121</c:v>
                </c:pt>
                <c:pt idx="21">
                  <c:v>0.42260692464357386</c:v>
                </c:pt>
                <c:pt idx="22">
                  <c:v>0.41471372279126034</c:v>
                </c:pt>
                <c:pt idx="23">
                  <c:v>0.41177911165666181</c:v>
                </c:pt>
                <c:pt idx="24">
                  <c:v>0.40745902905774478</c:v>
                </c:pt>
                <c:pt idx="25">
                  <c:v>0.40701933826856601</c:v>
                </c:pt>
                <c:pt idx="26">
                  <c:v>0.40695964626015785</c:v>
                </c:pt>
                <c:pt idx="27">
                  <c:v>0.40594793329702555</c:v>
                </c:pt>
                <c:pt idx="28">
                  <c:v>0.40426428459826697</c:v>
                </c:pt>
                <c:pt idx="29">
                  <c:v>0.38467675774246712</c:v>
                </c:pt>
                <c:pt idx="30">
                  <c:v>0.38120236153768061</c:v>
                </c:pt>
                <c:pt idx="31">
                  <c:v>0.37607344201145232</c:v>
                </c:pt>
                <c:pt idx="32">
                  <c:v>0.37158805121444843</c:v>
                </c:pt>
                <c:pt idx="33">
                  <c:v>0.36644819378085275</c:v>
                </c:pt>
                <c:pt idx="34">
                  <c:v>0.36126296268395225</c:v>
                </c:pt>
                <c:pt idx="35">
                  <c:v>0.35799999999999998</c:v>
                </c:pt>
                <c:pt idx="36">
                  <c:v>0.35204116130732316</c:v>
                </c:pt>
                <c:pt idx="37">
                  <c:v>0.35024958402661793</c:v>
                </c:pt>
                <c:pt idx="38">
                  <c:v>0.33118559391688523</c:v>
                </c:pt>
                <c:pt idx="39">
                  <c:v>0.3013356901702155</c:v>
                </c:pt>
                <c:pt idx="40">
                  <c:v>0.27746049826040142</c:v>
                </c:pt>
                <c:pt idx="41">
                  <c:v>0.24287006530861482</c:v>
                </c:pt>
                <c:pt idx="42">
                  <c:v>0.23812231088326657</c:v>
                </c:pt>
                <c:pt idx="43">
                  <c:v>0.21127998340839607</c:v>
                </c:pt>
                <c:pt idx="44">
                  <c:v>0.18</c:v>
                </c:pt>
                <c:pt idx="45">
                  <c:v>0.12259351532245975</c:v>
                </c:pt>
              </c:numCache>
            </c:numRef>
          </c:val>
          <c:extLst>
            <c:ext xmlns:c16="http://schemas.microsoft.com/office/drawing/2014/chart" uri="{C3380CC4-5D6E-409C-BE32-E72D297353CC}">
              <c16:uniqueId val="{0000001A-012E-479F-BCCF-CE815A500A93}"/>
            </c:ext>
          </c:extLst>
        </c:ser>
        <c:ser>
          <c:idx val="1"/>
          <c:order val="1"/>
          <c:tx>
            <c:strRef>
              <c:f>Hoja1!$C$1</c:f>
              <c:strCache>
                <c:ptCount val="1"/>
                <c:pt idx="0">
                  <c:v>A veces</c:v>
                </c:pt>
              </c:strCache>
            </c:strRef>
          </c:tx>
          <c:spPr>
            <a:solidFill>
              <a:srgbClr val="FFC000"/>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Hoja1!$A$2:$A$47</c:f>
              <c:strCache>
                <c:ptCount val="46"/>
                <c:pt idx="0">
                  <c:v>TOTAL</c:v>
                </c:pt>
                <c:pt idx="1">
                  <c:v>Turquía</c:v>
                </c:pt>
                <c:pt idx="2">
                  <c:v>Serbia</c:v>
                </c:pt>
                <c:pt idx="3">
                  <c:v>Japón</c:v>
                </c:pt>
                <c:pt idx="4">
                  <c:v>Chile</c:v>
                </c:pt>
                <c:pt idx="5">
                  <c:v>Costa de Marfil</c:v>
                </c:pt>
                <c:pt idx="6">
                  <c:v>Ecuador</c:v>
                </c:pt>
                <c:pt idx="7">
                  <c:v>Corea del Sur</c:v>
                </c:pt>
                <c:pt idx="8">
                  <c:v>Estados Unidos</c:v>
                </c:pt>
                <c:pt idx="9">
                  <c:v>Grecia</c:v>
                </c:pt>
                <c:pt idx="10">
                  <c:v>Marruecos</c:v>
                </c:pt>
                <c:pt idx="11">
                  <c:v>Croacia</c:v>
                </c:pt>
                <c:pt idx="12">
                  <c:v>Suecia</c:v>
                </c:pt>
                <c:pt idx="13">
                  <c:v>Argentina</c:v>
                </c:pt>
                <c:pt idx="14">
                  <c:v>Letonia</c:v>
                </c:pt>
                <c:pt idx="15">
                  <c:v>India</c:v>
                </c:pt>
                <c:pt idx="16">
                  <c:v>Paraguay</c:v>
                </c:pt>
                <c:pt idx="17">
                  <c:v>Canadá</c:v>
                </c:pt>
                <c:pt idx="18">
                  <c:v>Eslovenia</c:v>
                </c:pt>
                <c:pt idx="19">
                  <c:v>Pakistán</c:v>
                </c:pt>
                <c:pt idx="20">
                  <c:v>Reino Unido</c:v>
                </c:pt>
                <c:pt idx="21">
                  <c:v>Alemania</c:v>
                </c:pt>
                <c:pt idx="22">
                  <c:v>Colombia</c:v>
                </c:pt>
                <c:pt idx="23">
                  <c:v>Filipinas</c:v>
                </c:pt>
                <c:pt idx="24">
                  <c:v>Finlandia</c:v>
                </c:pt>
                <c:pt idx="25">
                  <c:v>Indonesia</c:v>
                </c:pt>
                <c:pt idx="26">
                  <c:v>Irlanda</c:v>
                </c:pt>
                <c:pt idx="27">
                  <c:v>México</c:v>
                </c:pt>
                <c:pt idx="28">
                  <c:v>Noruega</c:v>
                </c:pt>
                <c:pt idx="29">
                  <c:v>Tailandia</c:v>
                </c:pt>
                <c:pt idx="30">
                  <c:v>Brasil</c:v>
                </c:pt>
                <c:pt idx="31">
                  <c:v>Italia</c:v>
                </c:pt>
                <c:pt idx="32">
                  <c:v>Francia</c:v>
                </c:pt>
                <c:pt idx="33">
                  <c:v>Venezuela</c:v>
                </c:pt>
                <c:pt idx="34">
                  <c:v>España</c:v>
                </c:pt>
                <c:pt idx="35">
                  <c:v>Hong Kong</c:v>
                </c:pt>
                <c:pt idx="36">
                  <c:v>Malasia</c:v>
                </c:pt>
                <c:pt idx="37">
                  <c:v>Perú</c:v>
                </c:pt>
                <c:pt idx="38">
                  <c:v>Australia</c:v>
                </c:pt>
                <c:pt idx="39">
                  <c:v>Eslovaquia</c:v>
                </c:pt>
                <c:pt idx="40">
                  <c:v>Países Bajos</c:v>
                </c:pt>
                <c:pt idx="41">
                  <c:v>Georgia</c:v>
                </c:pt>
                <c:pt idx="42">
                  <c:v>Polonia</c:v>
                </c:pt>
                <c:pt idx="43">
                  <c:v>Dinamarca</c:v>
                </c:pt>
                <c:pt idx="44">
                  <c:v>China</c:v>
                </c:pt>
                <c:pt idx="45">
                  <c:v>Vietnam</c:v>
                </c:pt>
              </c:strCache>
            </c:strRef>
          </c:cat>
          <c:val>
            <c:numRef>
              <c:f>Hoja1!$C$2:$C$47</c:f>
              <c:numCache>
                <c:formatCode>###0%</c:formatCode>
                <c:ptCount val="46"/>
                <c:pt idx="0">
                  <c:v>0.31023549815679002</c:v>
                </c:pt>
                <c:pt idx="1">
                  <c:v>0.16528267856583362</c:v>
                </c:pt>
                <c:pt idx="2">
                  <c:v>0.3155260263187904</c:v>
                </c:pt>
                <c:pt idx="3">
                  <c:v>0.22040139585914459</c:v>
                </c:pt>
                <c:pt idx="4">
                  <c:v>0.29905497363453448</c:v>
                </c:pt>
                <c:pt idx="5">
                  <c:v>0.27490039840637204</c:v>
                </c:pt>
                <c:pt idx="6">
                  <c:v>0.22458481673769057</c:v>
                </c:pt>
                <c:pt idx="7">
                  <c:v>0.31693863077733714</c:v>
                </c:pt>
                <c:pt idx="8">
                  <c:v>0.23075459984671653</c:v>
                </c:pt>
                <c:pt idx="9">
                  <c:v>0.276892430278882</c:v>
                </c:pt>
                <c:pt idx="10">
                  <c:v>0.31712473572938454</c:v>
                </c:pt>
                <c:pt idx="11">
                  <c:v>0.3638810931807212</c:v>
                </c:pt>
                <c:pt idx="12">
                  <c:v>0.32964949970802315</c:v>
                </c:pt>
                <c:pt idx="13">
                  <c:v>0.29447695598849866</c:v>
                </c:pt>
                <c:pt idx="14">
                  <c:v>0.3261253108560011</c:v>
                </c:pt>
                <c:pt idx="15">
                  <c:v>0.29499999999999998</c:v>
                </c:pt>
                <c:pt idx="16">
                  <c:v>0.25817022107305498</c:v>
                </c:pt>
                <c:pt idx="17">
                  <c:v>0.30325887055973222</c:v>
                </c:pt>
                <c:pt idx="18">
                  <c:v>0.34907753275666037</c:v>
                </c:pt>
                <c:pt idx="19">
                  <c:v>0.13555617559995281</c:v>
                </c:pt>
                <c:pt idx="20">
                  <c:v>0.25932627945747655</c:v>
                </c:pt>
                <c:pt idx="21">
                  <c:v>0.32993890020365796</c:v>
                </c:pt>
                <c:pt idx="22">
                  <c:v>0.30210889640360689</c:v>
                </c:pt>
                <c:pt idx="23">
                  <c:v>0.29845596158028753</c:v>
                </c:pt>
                <c:pt idx="24">
                  <c:v>0.36418851579272754</c:v>
                </c:pt>
                <c:pt idx="25">
                  <c:v>0.37380247816716916</c:v>
                </c:pt>
                <c:pt idx="26">
                  <c:v>0.35473631436396408</c:v>
                </c:pt>
                <c:pt idx="27">
                  <c:v>0.35304554662347698</c:v>
                </c:pt>
                <c:pt idx="28">
                  <c:v>0.36570554469670297</c:v>
                </c:pt>
                <c:pt idx="29">
                  <c:v>0.3568123639476809</c:v>
                </c:pt>
                <c:pt idx="30">
                  <c:v>0.2513442980685191</c:v>
                </c:pt>
                <c:pt idx="31">
                  <c:v>0.33606540607288293</c:v>
                </c:pt>
                <c:pt idx="32">
                  <c:v>0.28770303779690826</c:v>
                </c:pt>
                <c:pt idx="33">
                  <c:v>0.35166408674511263</c:v>
                </c:pt>
                <c:pt idx="34">
                  <c:v>0.26653905912284509</c:v>
                </c:pt>
                <c:pt idx="35">
                  <c:v>0.4</c:v>
                </c:pt>
                <c:pt idx="36">
                  <c:v>0.39092227788159051</c:v>
                </c:pt>
                <c:pt idx="37">
                  <c:v>0.36106489184691754</c:v>
                </c:pt>
                <c:pt idx="38">
                  <c:v>0.38600236276784633</c:v>
                </c:pt>
                <c:pt idx="39">
                  <c:v>0.37287579836192175</c:v>
                </c:pt>
                <c:pt idx="40">
                  <c:v>0.36856469890028409</c:v>
                </c:pt>
                <c:pt idx="41">
                  <c:v>0.22057505161492755</c:v>
                </c:pt>
                <c:pt idx="42">
                  <c:v>0.3129794188401252</c:v>
                </c:pt>
                <c:pt idx="43">
                  <c:v>0.30865021857086877</c:v>
                </c:pt>
                <c:pt idx="44">
                  <c:v>0.39399999999999996</c:v>
                </c:pt>
                <c:pt idx="45">
                  <c:v>0.29686540429098934</c:v>
                </c:pt>
              </c:numCache>
            </c:numRef>
          </c:val>
          <c:extLst>
            <c:ext xmlns:c16="http://schemas.microsoft.com/office/drawing/2014/chart" uri="{C3380CC4-5D6E-409C-BE32-E72D297353CC}">
              <c16:uniqueId val="{0000001B-012E-479F-BCCF-CE815A500A93}"/>
            </c:ext>
          </c:extLst>
        </c:ser>
        <c:ser>
          <c:idx val="2"/>
          <c:order val="2"/>
          <c:tx>
            <c:strRef>
              <c:f>Hoja1!$D$1</c:f>
              <c:strCache>
                <c:ptCount val="1"/>
                <c:pt idx="0">
                  <c:v>Rara vez/ casi nunca + Nunca</c:v>
                </c:pt>
              </c:strCache>
            </c:strRef>
          </c:tx>
          <c:spPr>
            <a:solidFill>
              <a:srgbClr val="92D050"/>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Hoja1!$A$2:$A$47</c:f>
              <c:strCache>
                <c:ptCount val="46"/>
                <c:pt idx="0">
                  <c:v>TOTAL</c:v>
                </c:pt>
                <c:pt idx="1">
                  <c:v>Turquía</c:v>
                </c:pt>
                <c:pt idx="2">
                  <c:v>Serbia</c:v>
                </c:pt>
                <c:pt idx="3">
                  <c:v>Japón</c:v>
                </c:pt>
                <c:pt idx="4">
                  <c:v>Chile</c:v>
                </c:pt>
                <c:pt idx="5">
                  <c:v>Costa de Marfil</c:v>
                </c:pt>
                <c:pt idx="6">
                  <c:v>Ecuador</c:v>
                </c:pt>
                <c:pt idx="7">
                  <c:v>Corea del Sur</c:v>
                </c:pt>
                <c:pt idx="8">
                  <c:v>Estados Unidos</c:v>
                </c:pt>
                <c:pt idx="9">
                  <c:v>Grecia</c:v>
                </c:pt>
                <c:pt idx="10">
                  <c:v>Marruecos</c:v>
                </c:pt>
                <c:pt idx="11">
                  <c:v>Croacia</c:v>
                </c:pt>
                <c:pt idx="12">
                  <c:v>Suecia</c:v>
                </c:pt>
                <c:pt idx="13">
                  <c:v>Argentina</c:v>
                </c:pt>
                <c:pt idx="14">
                  <c:v>Letonia</c:v>
                </c:pt>
                <c:pt idx="15">
                  <c:v>India</c:v>
                </c:pt>
                <c:pt idx="16">
                  <c:v>Paraguay</c:v>
                </c:pt>
                <c:pt idx="17">
                  <c:v>Canadá</c:v>
                </c:pt>
                <c:pt idx="18">
                  <c:v>Eslovenia</c:v>
                </c:pt>
                <c:pt idx="19">
                  <c:v>Pakistán</c:v>
                </c:pt>
                <c:pt idx="20">
                  <c:v>Reino Unido</c:v>
                </c:pt>
                <c:pt idx="21">
                  <c:v>Alemania</c:v>
                </c:pt>
                <c:pt idx="22">
                  <c:v>Colombia</c:v>
                </c:pt>
                <c:pt idx="23">
                  <c:v>Filipinas</c:v>
                </c:pt>
                <c:pt idx="24">
                  <c:v>Finlandia</c:v>
                </c:pt>
                <c:pt idx="25">
                  <c:v>Indonesia</c:v>
                </c:pt>
                <c:pt idx="26">
                  <c:v>Irlanda</c:v>
                </c:pt>
                <c:pt idx="27">
                  <c:v>México</c:v>
                </c:pt>
                <c:pt idx="28">
                  <c:v>Noruega</c:v>
                </c:pt>
                <c:pt idx="29">
                  <c:v>Tailandia</c:v>
                </c:pt>
                <c:pt idx="30">
                  <c:v>Brasil</c:v>
                </c:pt>
                <c:pt idx="31">
                  <c:v>Italia</c:v>
                </c:pt>
                <c:pt idx="32">
                  <c:v>Francia</c:v>
                </c:pt>
                <c:pt idx="33">
                  <c:v>Venezuela</c:v>
                </c:pt>
                <c:pt idx="34">
                  <c:v>España</c:v>
                </c:pt>
                <c:pt idx="35">
                  <c:v>Hong Kong</c:v>
                </c:pt>
                <c:pt idx="36">
                  <c:v>Malasia</c:v>
                </c:pt>
                <c:pt idx="37">
                  <c:v>Perú</c:v>
                </c:pt>
                <c:pt idx="38">
                  <c:v>Australia</c:v>
                </c:pt>
                <c:pt idx="39">
                  <c:v>Eslovaquia</c:v>
                </c:pt>
                <c:pt idx="40">
                  <c:v>Países Bajos</c:v>
                </c:pt>
                <c:pt idx="41">
                  <c:v>Georgia</c:v>
                </c:pt>
                <c:pt idx="42">
                  <c:v>Polonia</c:v>
                </c:pt>
                <c:pt idx="43">
                  <c:v>Dinamarca</c:v>
                </c:pt>
                <c:pt idx="44">
                  <c:v>China</c:v>
                </c:pt>
                <c:pt idx="45">
                  <c:v>Vietnam</c:v>
                </c:pt>
              </c:strCache>
            </c:strRef>
          </c:cat>
          <c:val>
            <c:numRef>
              <c:f>Hoja1!$D$2:$D$47</c:f>
              <c:numCache>
                <c:formatCode>###0%</c:formatCode>
                <c:ptCount val="46"/>
                <c:pt idx="0">
                  <c:v>0.25756926078243131</c:v>
                </c:pt>
                <c:pt idx="1">
                  <c:v>0.13828446786409751</c:v>
                </c:pt>
                <c:pt idx="2">
                  <c:v>7.5062920722362009E-2</c:v>
                </c:pt>
                <c:pt idx="3">
                  <c:v>0.16929382580485014</c:v>
                </c:pt>
                <c:pt idx="4">
                  <c:v>0.13236230292755474</c:v>
                </c:pt>
                <c:pt idx="5">
                  <c:v>0.16135458167330521</c:v>
                </c:pt>
                <c:pt idx="6">
                  <c:v>0.15391813859034698</c:v>
                </c:pt>
                <c:pt idx="7">
                  <c:v>0.15168737954051728</c:v>
                </c:pt>
                <c:pt idx="8">
                  <c:v>0.22487980498055238</c:v>
                </c:pt>
                <c:pt idx="9">
                  <c:v>0.18725099601593445</c:v>
                </c:pt>
                <c:pt idx="10">
                  <c:v>0.14164904862579145</c:v>
                </c:pt>
                <c:pt idx="11">
                  <c:v>0.12224169669531201</c:v>
                </c:pt>
                <c:pt idx="12">
                  <c:v>0.1681951317143705</c:v>
                </c:pt>
                <c:pt idx="13">
                  <c:v>0.1848053002445047</c:v>
                </c:pt>
                <c:pt idx="14">
                  <c:v>0.17198739331043908</c:v>
                </c:pt>
                <c:pt idx="15">
                  <c:v>0.22699999999999998</c:v>
                </c:pt>
                <c:pt idx="16">
                  <c:v>0.24625203682824506</c:v>
                </c:pt>
                <c:pt idx="17">
                  <c:v>0.23423579238026054</c:v>
                </c:pt>
                <c:pt idx="18">
                  <c:v>0.20171005677213522</c:v>
                </c:pt>
                <c:pt idx="19">
                  <c:v>0.43578294947932794</c:v>
                </c:pt>
                <c:pt idx="20">
                  <c:v>0.29710053867484809</c:v>
                </c:pt>
                <c:pt idx="21">
                  <c:v>0.23930753564154242</c:v>
                </c:pt>
                <c:pt idx="22">
                  <c:v>0.27994519385953587</c:v>
                </c:pt>
                <c:pt idx="23">
                  <c:v>0.28629715277135365</c:v>
                </c:pt>
                <c:pt idx="24">
                  <c:v>0.22209459043718099</c:v>
                </c:pt>
                <c:pt idx="25">
                  <c:v>0.21345721929047326</c:v>
                </c:pt>
                <c:pt idx="26">
                  <c:v>0.23125934659578268</c:v>
                </c:pt>
                <c:pt idx="27">
                  <c:v>0.22955285518522331</c:v>
                </c:pt>
                <c:pt idx="28">
                  <c:v>0.22504193391409311</c:v>
                </c:pt>
                <c:pt idx="29">
                  <c:v>0.25450005072944998</c:v>
                </c:pt>
                <c:pt idx="30">
                  <c:v>0.3250482801184813</c:v>
                </c:pt>
                <c:pt idx="31">
                  <c:v>0.25614075148001764</c:v>
                </c:pt>
                <c:pt idx="32">
                  <c:v>0.31766612194090249</c:v>
                </c:pt>
                <c:pt idx="33">
                  <c:v>0.28188771947403457</c:v>
                </c:pt>
                <c:pt idx="34">
                  <c:v>0.34732662513817608</c:v>
                </c:pt>
                <c:pt idx="35">
                  <c:v>0.23599999999999999</c:v>
                </c:pt>
                <c:pt idx="36">
                  <c:v>0.2496586915649408</c:v>
                </c:pt>
                <c:pt idx="37">
                  <c:v>0.28036605657237457</c:v>
                </c:pt>
                <c:pt idx="38">
                  <c:v>0.27027911087138146</c:v>
                </c:pt>
                <c:pt idx="39">
                  <c:v>0.30334416892948807</c:v>
                </c:pt>
                <c:pt idx="40">
                  <c:v>0.32099685985206394</c:v>
                </c:pt>
                <c:pt idx="41">
                  <c:v>0.53379538887966593</c:v>
                </c:pt>
                <c:pt idx="42">
                  <c:v>0.39578273779250883</c:v>
                </c:pt>
                <c:pt idx="43">
                  <c:v>0.46029270336488715</c:v>
                </c:pt>
                <c:pt idx="44">
                  <c:v>0.42499999999999999</c:v>
                </c:pt>
                <c:pt idx="45">
                  <c:v>0.58054108038655294</c:v>
                </c:pt>
              </c:numCache>
            </c:numRef>
          </c:val>
          <c:extLst>
            <c:ext xmlns:c16="http://schemas.microsoft.com/office/drawing/2014/chart" uri="{C3380CC4-5D6E-409C-BE32-E72D297353CC}">
              <c16:uniqueId val="{0000001C-012E-479F-BCCF-CE815A500A93}"/>
            </c:ext>
          </c:extLst>
        </c:ser>
        <c:ser>
          <c:idx val="3"/>
          <c:order val="3"/>
          <c:tx>
            <c:strRef>
              <c:f>Hoja1!$E$1</c:f>
              <c:strCache>
                <c:ptCount val="1"/>
                <c:pt idx="0">
                  <c:v>No sabe / no responde</c:v>
                </c:pt>
              </c:strCache>
            </c:strRef>
          </c:tx>
          <c:spPr>
            <a:solidFill>
              <a:schemeClr val="bg1">
                <a:lumMod val="65000"/>
              </a:schemeClr>
            </a:solidFill>
            <a:ln>
              <a:noFill/>
            </a:ln>
            <a:effectLst/>
          </c:spPr>
          <c:invertIfNegative val="0"/>
          <c:dLbls>
            <c:delete val="1"/>
          </c:dLbls>
          <c:cat>
            <c:strRef>
              <c:f>Hoja1!$A$2:$A$47</c:f>
              <c:strCache>
                <c:ptCount val="46"/>
                <c:pt idx="0">
                  <c:v>TOTAL</c:v>
                </c:pt>
                <c:pt idx="1">
                  <c:v>Turquía</c:v>
                </c:pt>
                <c:pt idx="2">
                  <c:v>Serbia</c:v>
                </c:pt>
                <c:pt idx="3">
                  <c:v>Japón</c:v>
                </c:pt>
                <c:pt idx="4">
                  <c:v>Chile</c:v>
                </c:pt>
                <c:pt idx="5">
                  <c:v>Costa de Marfil</c:v>
                </c:pt>
                <c:pt idx="6">
                  <c:v>Ecuador</c:v>
                </c:pt>
                <c:pt idx="7">
                  <c:v>Corea del Sur</c:v>
                </c:pt>
                <c:pt idx="8">
                  <c:v>Estados Unidos</c:v>
                </c:pt>
                <c:pt idx="9">
                  <c:v>Grecia</c:v>
                </c:pt>
                <c:pt idx="10">
                  <c:v>Marruecos</c:v>
                </c:pt>
                <c:pt idx="11">
                  <c:v>Croacia</c:v>
                </c:pt>
                <c:pt idx="12">
                  <c:v>Suecia</c:v>
                </c:pt>
                <c:pt idx="13">
                  <c:v>Argentina</c:v>
                </c:pt>
                <c:pt idx="14">
                  <c:v>Letonia</c:v>
                </c:pt>
                <c:pt idx="15">
                  <c:v>India</c:v>
                </c:pt>
                <c:pt idx="16">
                  <c:v>Paraguay</c:v>
                </c:pt>
                <c:pt idx="17">
                  <c:v>Canadá</c:v>
                </c:pt>
                <c:pt idx="18">
                  <c:v>Eslovenia</c:v>
                </c:pt>
                <c:pt idx="19">
                  <c:v>Pakistán</c:v>
                </c:pt>
                <c:pt idx="20">
                  <c:v>Reino Unido</c:v>
                </c:pt>
                <c:pt idx="21">
                  <c:v>Alemania</c:v>
                </c:pt>
                <c:pt idx="22">
                  <c:v>Colombia</c:v>
                </c:pt>
                <c:pt idx="23">
                  <c:v>Filipinas</c:v>
                </c:pt>
                <c:pt idx="24">
                  <c:v>Finlandia</c:v>
                </c:pt>
                <c:pt idx="25">
                  <c:v>Indonesia</c:v>
                </c:pt>
                <c:pt idx="26">
                  <c:v>Irlanda</c:v>
                </c:pt>
                <c:pt idx="27">
                  <c:v>México</c:v>
                </c:pt>
                <c:pt idx="28">
                  <c:v>Noruega</c:v>
                </c:pt>
                <c:pt idx="29">
                  <c:v>Tailandia</c:v>
                </c:pt>
                <c:pt idx="30">
                  <c:v>Brasil</c:v>
                </c:pt>
                <c:pt idx="31">
                  <c:v>Italia</c:v>
                </c:pt>
                <c:pt idx="32">
                  <c:v>Francia</c:v>
                </c:pt>
                <c:pt idx="33">
                  <c:v>Venezuela</c:v>
                </c:pt>
                <c:pt idx="34">
                  <c:v>España</c:v>
                </c:pt>
                <c:pt idx="35">
                  <c:v>Hong Kong</c:v>
                </c:pt>
                <c:pt idx="36">
                  <c:v>Malasia</c:v>
                </c:pt>
                <c:pt idx="37">
                  <c:v>Perú</c:v>
                </c:pt>
                <c:pt idx="38">
                  <c:v>Australia</c:v>
                </c:pt>
                <c:pt idx="39">
                  <c:v>Eslovaquia</c:v>
                </c:pt>
                <c:pt idx="40">
                  <c:v>Países Bajos</c:v>
                </c:pt>
                <c:pt idx="41">
                  <c:v>Georgia</c:v>
                </c:pt>
                <c:pt idx="42">
                  <c:v>Polonia</c:v>
                </c:pt>
                <c:pt idx="43">
                  <c:v>Dinamarca</c:v>
                </c:pt>
                <c:pt idx="44">
                  <c:v>China</c:v>
                </c:pt>
                <c:pt idx="45">
                  <c:v>Vietnam</c:v>
                </c:pt>
              </c:strCache>
            </c:strRef>
          </c:cat>
          <c:val>
            <c:numRef>
              <c:f>Hoja1!$E$2:$E$47</c:f>
              <c:numCache>
                <c:formatCode>###0%</c:formatCode>
                <c:ptCount val="46"/>
                <c:pt idx="0">
                  <c:v>1.4752600050654173E-2</c:v>
                </c:pt>
                <c:pt idx="1">
                  <c:v>1.3269624188428863E-3</c:v>
                </c:pt>
                <c:pt idx="2" formatCode="General">
                  <c:v>0</c:v>
                </c:pt>
                <c:pt idx="3">
                  <c:v>3.9755079260183616E-2</c:v>
                </c:pt>
                <c:pt idx="4">
                  <c:v>9.7862334805968558E-3</c:v>
                </c:pt>
                <c:pt idx="5">
                  <c:v>7.9681274900397746E-3</c:v>
                </c:pt>
                <c:pt idx="6">
                  <c:v>7.6004427492962101E-2</c:v>
                </c:pt>
                <c:pt idx="7">
                  <c:v>1.3999554636409247E-3</c:v>
                </c:pt>
                <c:pt idx="8">
                  <c:v>2.0071933663277121E-2</c:v>
                </c:pt>
                <c:pt idx="9">
                  <c:v>1.3944223107569606E-2</c:v>
                </c:pt>
                <c:pt idx="10">
                  <c:v>2.7484143763213297E-2</c:v>
                </c:pt>
                <c:pt idx="11">
                  <c:v>1.1845630643866822E-2</c:v>
                </c:pt>
                <c:pt idx="12">
                  <c:v>2.9750948705489096E-3</c:v>
                </c:pt>
                <c:pt idx="13">
                  <c:v>2.2095708692344604E-2</c:v>
                </c:pt>
                <c:pt idx="14">
                  <c:v>1.3926534589171959E-2</c:v>
                </c:pt>
                <c:pt idx="15">
                  <c:v>4.0000000000000001E-3</c:v>
                </c:pt>
                <c:pt idx="16">
                  <c:v>2.3153109723788159E-2</c:v>
                </c:pt>
                <c:pt idx="17">
                  <c:v>1.6457808697764115E-2</c:v>
                </c:pt>
                <c:pt idx="18">
                  <c:v>5.5429499471718732E-3</c:v>
                </c:pt>
                <c:pt idx="19">
                  <c:v>4.0248852533652756E-3</c:v>
                </c:pt>
                <c:pt idx="20">
                  <c:v>1.9435857481548802E-2</c:v>
                </c:pt>
                <c:pt idx="21">
                  <c:v>8.146639511201469E-3</c:v>
                </c:pt>
                <c:pt idx="22">
                  <c:v>3.2321869455944267E-3</c:v>
                </c:pt>
                <c:pt idx="23">
                  <c:v>3.4677739916950555E-3</c:v>
                </c:pt>
                <c:pt idx="24">
                  <c:v>6.2578647123494816E-3</c:v>
                </c:pt>
                <c:pt idx="25">
                  <c:v>5.720964273792757E-3</c:v>
                </c:pt>
                <c:pt idx="26">
                  <c:v>7.0446927800960242E-3</c:v>
                </c:pt>
                <c:pt idx="27">
                  <c:v>1.1453664894273154E-2</c:v>
                </c:pt>
                <c:pt idx="28">
                  <c:v>4.9882367909357996E-3</c:v>
                </c:pt>
                <c:pt idx="29">
                  <c:v>4.0108275804010794E-3</c:v>
                </c:pt>
                <c:pt idx="30">
                  <c:v>4.2405060275316785E-2</c:v>
                </c:pt>
                <c:pt idx="31">
                  <c:v>3.1720400435649346E-2</c:v>
                </c:pt>
                <c:pt idx="32">
                  <c:v>2.3042789047740281E-2</c:v>
                </c:pt>
                <c:pt idx="33">
                  <c:v>0</c:v>
                </c:pt>
                <c:pt idx="34">
                  <c:v>2.4871353055025795E-2</c:v>
                </c:pt>
                <c:pt idx="35">
                  <c:v>6.0000000000000001E-3</c:v>
                </c:pt>
                <c:pt idx="36">
                  <c:v>7.3778692461467675E-3</c:v>
                </c:pt>
                <c:pt idx="37">
                  <c:v>8.3194675540764242E-3</c:v>
                </c:pt>
                <c:pt idx="38">
                  <c:v>1.2532932443885689E-2</c:v>
                </c:pt>
                <c:pt idx="39">
                  <c:v>2.2444342538374372E-2</c:v>
                </c:pt>
                <c:pt idx="40">
                  <c:v>3.2977942987252561E-2</c:v>
                </c:pt>
                <c:pt idx="41">
                  <c:v>2.759494196795421E-3</c:v>
                </c:pt>
                <c:pt idx="42">
                  <c:v>5.3115532484098976E-2</c:v>
                </c:pt>
                <c:pt idx="43">
                  <c:v>1.9777094655849412E-2</c:v>
                </c:pt>
                <c:pt idx="44">
                  <c:v>1E-3</c:v>
                </c:pt>
                <c:pt idx="45">
                  <c:v>0</c:v>
                </c:pt>
              </c:numCache>
            </c:numRef>
          </c:val>
          <c:extLst>
            <c:ext xmlns:c16="http://schemas.microsoft.com/office/drawing/2014/chart" uri="{C3380CC4-5D6E-409C-BE32-E72D297353CC}">
              <c16:uniqueId val="{0000001D-012E-479F-BCCF-CE815A500A93}"/>
            </c:ext>
          </c:extLst>
        </c:ser>
        <c:dLbls>
          <c:dLblPos val="ctr"/>
          <c:showLegendKey val="0"/>
          <c:showVal val="1"/>
          <c:showCatName val="0"/>
          <c:showSerName val="0"/>
          <c:showPercent val="0"/>
          <c:showBubbleSize val="0"/>
        </c:dLbls>
        <c:gapWidth val="70"/>
        <c:overlap val="100"/>
        <c:axId val="1676282591"/>
        <c:axId val="1676285951"/>
      </c:barChart>
      <c:catAx>
        <c:axId val="167628259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crossAx val="1676285951"/>
        <c:crosses val="autoZero"/>
        <c:auto val="1"/>
        <c:lblAlgn val="ctr"/>
        <c:lblOffset val="100"/>
        <c:noMultiLvlLbl val="0"/>
      </c:catAx>
      <c:valAx>
        <c:axId val="1676285951"/>
        <c:scaling>
          <c:orientation val="minMax"/>
        </c:scaling>
        <c:delete val="1"/>
        <c:axPos val="l"/>
        <c:numFmt formatCode="0%" sourceLinked="1"/>
        <c:majorTickMark val="out"/>
        <c:minorTickMark val="none"/>
        <c:tickLblPos val="nextTo"/>
        <c:crossAx val="1676282591"/>
        <c:crosses val="autoZero"/>
        <c:crossBetween val="between"/>
      </c:valAx>
      <c:spPr>
        <a:noFill/>
        <a:ln>
          <a:noFill/>
        </a:ln>
        <a:effectLst/>
      </c:spPr>
    </c:plotArea>
    <c:legend>
      <c:legendPos val="t"/>
      <c:layout>
        <c:manualLayout>
          <c:xMode val="edge"/>
          <c:yMode val="edge"/>
          <c:x val="0.10684628096701587"/>
          <c:y val="1.735357917570499E-2"/>
          <c:w val="0.87557619400139086"/>
          <c:h val="0.1002626949288605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000">
          <a:latin typeface="Calibri" panose="020F0502020204030204" pitchFamily="34" charset="0"/>
          <a:cs typeface="Calibri" panose="020F0502020204030204" pitchFamily="34" charset="0"/>
        </a:defRPr>
      </a:pPr>
      <a:endParaRPr lang="es-A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Calibri" panose="020F0502020204030204" pitchFamily="34" charset="0"/>
                <a:ea typeface="+mn-ea"/>
                <a:cs typeface="Calibri" panose="020F0502020204030204" pitchFamily="34" charset="0"/>
              </a:defRPr>
            </a:pPr>
            <a:r>
              <a:rPr lang="es-AR" sz="1100" i="1">
                <a:solidFill>
                  <a:schemeClr val="tx1"/>
                </a:solidFill>
              </a:rPr>
              <a:t>“Pensando en la última vez que estuvo realmente estresado, ¿qué fue lo que le estresó?”</a:t>
            </a:r>
          </a:p>
          <a:p>
            <a:pPr>
              <a:defRPr>
                <a:solidFill>
                  <a:schemeClr val="tx1"/>
                </a:solidFill>
              </a:defRPr>
            </a:pPr>
            <a:r>
              <a:rPr lang="es-AR" sz="1100" b="1" i="1">
                <a:solidFill>
                  <a:schemeClr val="tx1"/>
                </a:solidFill>
              </a:rPr>
              <a:t>FALTA DE DINERO / DEUDAS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Calibri" panose="020F0502020204030204" pitchFamily="34" charset="0"/>
              <a:ea typeface="+mn-ea"/>
              <a:cs typeface="Calibri" panose="020F0502020204030204" pitchFamily="34" charset="0"/>
            </a:defRPr>
          </a:pPr>
          <a:endParaRPr lang="es-AR"/>
        </a:p>
      </c:txPr>
    </c:title>
    <c:autoTitleDeleted val="0"/>
    <c:plotArea>
      <c:layout>
        <c:manualLayout>
          <c:layoutTarget val="inner"/>
          <c:xMode val="edge"/>
          <c:yMode val="edge"/>
          <c:x val="4.7388114947170067E-2"/>
          <c:y val="0"/>
          <c:w val="0.90397792583619363"/>
          <c:h val="0.75820675641351287"/>
        </c:manualLayout>
      </c:layout>
      <c:barChart>
        <c:barDir val="col"/>
        <c:grouping val="clustered"/>
        <c:varyColors val="0"/>
        <c:ser>
          <c:idx val="0"/>
          <c:order val="0"/>
          <c:tx>
            <c:strRef>
              <c:f>Hoja1!$B$1</c:f>
              <c:strCache>
                <c:ptCount val="1"/>
                <c:pt idx="0">
                  <c:v>Lack of money /debts</c:v>
                </c:pt>
              </c:strCache>
            </c:strRef>
          </c:tx>
          <c:spPr>
            <a:solidFill>
              <a:srgbClr val="F58D83"/>
            </a:solidFill>
            <a:ln>
              <a:noFill/>
            </a:ln>
            <a:effectLst/>
          </c:spPr>
          <c:invertIfNegative val="0"/>
          <c:dLbls>
            <c:dLbl>
              <c:idx val="3"/>
              <c:layout>
                <c:manualLayout>
                  <c:x val="-1.3928051633371129E-3"/>
                  <c:y val="-5.75109649574204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0C-40CF-8972-7DEB66A7D165}"/>
                </c:ext>
              </c:extLst>
            </c:dLbl>
            <c:dLbl>
              <c:idx val="5"/>
              <c:layout>
                <c:manualLayout>
                  <c:x val="-5.5712206533484647E-3"/>
                  <c:y val="4.9668560645044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0C-40CF-8972-7DEB66A7D165}"/>
                </c:ext>
              </c:extLst>
            </c:dLbl>
            <c:dLbl>
              <c:idx val="6"/>
              <c:layout>
                <c:manualLayout>
                  <c:x val="1.3928051633371129E-3"/>
                  <c:y val="-4.7054425874253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0C-40CF-8972-7DEB66A7D165}"/>
                </c:ext>
              </c:extLst>
            </c:dLbl>
            <c:dLbl>
              <c:idx val="8"/>
              <c:layout>
                <c:manualLayout>
                  <c:x val="-2.7856103266742259E-3"/>
                  <c:y val="3.3983752020293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0C-40CF-8972-7DEB66A7D165}"/>
                </c:ext>
              </c:extLst>
            </c:dLbl>
            <c:dLbl>
              <c:idx val="10"/>
              <c:layout>
                <c:manualLayout>
                  <c:x val="-1.3928051633371385E-3"/>
                  <c:y val="-5.4896830186628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0C-40CF-8972-7DEB66A7D165}"/>
                </c:ext>
              </c:extLst>
            </c:dLbl>
            <c:dLbl>
              <c:idx val="12"/>
              <c:layout>
                <c:manualLayout>
                  <c:x val="-2.7856103266742003E-3"/>
                  <c:y val="2.8755482478710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0C-40CF-8972-7DEB66A7D165}"/>
                </c:ext>
              </c:extLst>
            </c:dLbl>
            <c:dLbl>
              <c:idx val="13"/>
              <c:layout>
                <c:manualLayout>
                  <c:x val="0"/>
                  <c:y val="-3.92120215618776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20C-40CF-8972-7DEB66A7D165}"/>
                </c:ext>
              </c:extLst>
            </c:dLbl>
            <c:dLbl>
              <c:idx val="14"/>
              <c:layout>
                <c:manualLayout>
                  <c:x val="1.3928051633371129E-3"/>
                  <c:y val="6.01250997282122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20C-40CF-8972-7DEB66A7D165}"/>
                </c:ext>
              </c:extLst>
            </c:dLbl>
            <c:dLbl>
              <c:idx val="16"/>
              <c:layout>
                <c:manualLayout>
                  <c:x val="-3.4694567288677956E-3"/>
                  <c:y val="0.2305552403233409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20C-40CF-8972-7DEB66A7D165}"/>
                </c:ext>
              </c:extLst>
            </c:dLbl>
            <c:dLbl>
              <c:idx val="18"/>
              <c:layout>
                <c:manualLayout>
                  <c:x val="1.3928051633371639E-3"/>
                  <c:y val="-5.75109649574205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20C-40CF-8972-7DEB66A7D165}"/>
                </c:ext>
              </c:extLst>
            </c:dLbl>
            <c:dLbl>
              <c:idx val="20"/>
              <c:layout>
                <c:manualLayout>
                  <c:x val="0"/>
                  <c:y val="4.44402911034612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20C-40CF-8972-7DEB66A7D165}"/>
                </c:ext>
              </c:extLst>
            </c:dLbl>
            <c:dLbl>
              <c:idx val="21"/>
              <c:layout>
                <c:manualLayout>
                  <c:x val="1.3928051633370108E-3"/>
                  <c:y val="-2.3527212937126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20C-40CF-8972-7DEB66A7D165}"/>
                </c:ext>
              </c:extLst>
            </c:dLbl>
            <c:dLbl>
              <c:idx val="23"/>
              <c:layout>
                <c:manualLayout>
                  <c:x val="0"/>
                  <c:y val="-4.7054425874253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20C-40CF-8972-7DEB66A7D165}"/>
                </c:ext>
              </c:extLst>
            </c:dLbl>
            <c:dLbl>
              <c:idx val="24"/>
              <c:layout>
                <c:manualLayout>
                  <c:x val="0"/>
                  <c:y val="5.7510964957420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20C-40CF-8972-7DEB66A7D165}"/>
                </c:ext>
              </c:extLst>
            </c:dLbl>
            <c:dLbl>
              <c:idx val="26"/>
              <c:layout>
                <c:manualLayout>
                  <c:x val="-1.0213786540605134E-16"/>
                  <c:y val="4.9668560645044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20C-40CF-8972-7DEB66A7D165}"/>
                </c:ext>
              </c:extLst>
            </c:dLbl>
            <c:dLbl>
              <c:idx val="27"/>
              <c:layout>
                <c:manualLayout>
                  <c:x val="-2.7856103266743278E-3"/>
                  <c:y val="-3.3983752020293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20C-40CF-8972-7DEB66A7D165}"/>
                </c:ext>
              </c:extLst>
            </c:dLbl>
            <c:dLbl>
              <c:idx val="29"/>
              <c:layout>
                <c:manualLayout>
                  <c:x val="0"/>
                  <c:y val="5.22826954158367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20C-40CF-8972-7DEB66A7D165}"/>
                </c:ext>
              </c:extLst>
            </c:dLbl>
            <c:dLbl>
              <c:idx val="31"/>
              <c:layout>
                <c:manualLayout>
                  <c:x val="1.3928051633370108E-3"/>
                  <c:y val="-4.44402911034612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20C-40CF-8972-7DEB66A7D165}"/>
                </c:ext>
              </c:extLst>
            </c:dLbl>
            <c:dLbl>
              <c:idx val="33"/>
              <c:layout>
                <c:manualLayout>
                  <c:x val="-1.3928051633372151E-3"/>
                  <c:y val="3.92120215618775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20C-40CF-8972-7DEB66A7D165}"/>
                </c:ext>
              </c:extLst>
            </c:dLbl>
            <c:dLbl>
              <c:idx val="35"/>
              <c:layout>
                <c:manualLayout>
                  <c:x val="1.1142441306696801E-2"/>
                  <c:y val="2.8755482478710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20C-40CF-8972-7DEB66A7D165}"/>
                </c:ext>
              </c:extLst>
            </c:dLbl>
            <c:dLbl>
              <c:idx val="36"/>
              <c:layout>
                <c:manualLayout>
                  <c:x val="4.1784154900114407E-3"/>
                  <c:y val="-2.3527212937126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F20C-40CF-8972-7DEB66A7D165}"/>
                </c:ext>
              </c:extLst>
            </c:dLbl>
            <c:dLbl>
              <c:idx val="38"/>
              <c:layout>
                <c:manualLayout>
                  <c:x val="2.7856103266742259E-3"/>
                  <c:y val="-3.13696172495020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20C-40CF-8972-7DEB66A7D165}"/>
                </c:ext>
              </c:extLst>
            </c:dLbl>
            <c:dLbl>
              <c:idx val="39"/>
              <c:layout>
                <c:manualLayout>
                  <c:x val="1.0762500841240998E-3"/>
                  <c:y val="0.1452966655030190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F20C-40CF-8972-7DEB66A7D165}"/>
                </c:ext>
              </c:extLst>
            </c:dLbl>
            <c:dLbl>
              <c:idx val="41"/>
              <c:layout>
                <c:manualLayout>
                  <c:x val="-4.1784154900113384E-3"/>
                  <c:y val="-5.48968301866286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F20C-40CF-8972-7DEB66A7D165}"/>
                </c:ext>
              </c:extLst>
            </c:dLbl>
            <c:dLbl>
              <c:idx val="43"/>
              <c:layout>
                <c:manualLayout>
                  <c:x val="8.8606231913331067E-4"/>
                  <c:y val="0.112853134737468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F20C-40CF-8972-7DEB66A7D165}"/>
                </c:ext>
              </c:extLst>
            </c:dLbl>
            <c:dLbl>
              <c:idx val="44"/>
              <c:layout>
                <c:manualLayout>
                  <c:x val="1.8995894743927494E-3"/>
                  <c:y val="9.43689797396015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F20C-40CF-8972-7DEB66A7D165}"/>
                </c:ext>
              </c:extLst>
            </c:dLbl>
            <c:spPr>
              <a:noFill/>
              <a:ln>
                <a:noFill/>
              </a:ln>
              <a:effectLst/>
            </c:spPr>
            <c:txPr>
              <a:bodyPr rot="-5400000" spcFirstLastPara="1" vertOverflow="ellipsis" wrap="square" anchor="ctr" anchorCtr="1"/>
              <a:lstStyle/>
              <a:p>
                <a:pPr>
                  <a:defRPr sz="12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Hoja1!$A$2:$A$47</c:f>
              <c:strCache>
                <c:ptCount val="46"/>
                <c:pt idx="0">
                  <c:v>GLOBAL</c:v>
                </c:pt>
                <c:pt idx="1">
                  <c:v>Argentina</c:v>
                </c:pt>
                <c:pt idx="2">
                  <c:v>México</c:v>
                </c:pt>
                <c:pt idx="3">
                  <c:v>Chile</c:v>
                </c:pt>
                <c:pt idx="4">
                  <c:v>Indonesia</c:v>
                </c:pt>
                <c:pt idx="5">
                  <c:v>Grecia</c:v>
                </c:pt>
                <c:pt idx="6">
                  <c:v>Ecuador</c:v>
                </c:pt>
                <c:pt idx="7">
                  <c:v>Estados Unidos</c:v>
                </c:pt>
                <c:pt idx="8">
                  <c:v>Costa de Marfil</c:v>
                </c:pt>
                <c:pt idx="9">
                  <c:v>Filipinas</c:v>
                </c:pt>
                <c:pt idx="10">
                  <c:v>Tailandia</c:v>
                </c:pt>
                <c:pt idx="11">
                  <c:v>Venezuela</c:v>
                </c:pt>
                <c:pt idx="12">
                  <c:v>Brasil</c:v>
                </c:pt>
                <c:pt idx="13">
                  <c:v>Marruecos</c:v>
                </c:pt>
                <c:pt idx="14">
                  <c:v>Colombia</c:v>
                </c:pt>
                <c:pt idx="15">
                  <c:v>Corea del Sur</c:v>
                </c:pt>
                <c:pt idx="16">
                  <c:v>Turquía</c:v>
                </c:pt>
                <c:pt idx="17">
                  <c:v>India</c:v>
                </c:pt>
                <c:pt idx="18">
                  <c:v>Irlanda</c:v>
                </c:pt>
                <c:pt idx="19">
                  <c:v>Australia</c:v>
                </c:pt>
                <c:pt idx="20">
                  <c:v>Serbia</c:v>
                </c:pt>
                <c:pt idx="21">
                  <c:v>Canadá</c:v>
                </c:pt>
                <c:pt idx="22">
                  <c:v>Perú</c:v>
                </c:pt>
                <c:pt idx="23">
                  <c:v>España</c:v>
                </c:pt>
                <c:pt idx="24">
                  <c:v>Eslovaquia</c:v>
                </c:pt>
                <c:pt idx="25">
                  <c:v>Georgia</c:v>
                </c:pt>
                <c:pt idx="26">
                  <c:v>Hong Kong</c:v>
                </c:pt>
                <c:pt idx="27">
                  <c:v>Finlandia</c:v>
                </c:pt>
                <c:pt idx="28">
                  <c:v>Letonia</c:v>
                </c:pt>
                <c:pt idx="29">
                  <c:v>Alemania</c:v>
                </c:pt>
                <c:pt idx="30">
                  <c:v>Francia</c:v>
                </c:pt>
                <c:pt idx="31">
                  <c:v>Japón</c:v>
                </c:pt>
                <c:pt idx="32">
                  <c:v>Suecia</c:v>
                </c:pt>
                <c:pt idx="33">
                  <c:v>Malasia</c:v>
                </c:pt>
                <c:pt idx="34">
                  <c:v>Noruega</c:v>
                </c:pt>
                <c:pt idx="35">
                  <c:v>Croacia</c:v>
                </c:pt>
                <c:pt idx="36">
                  <c:v>Paraguay</c:v>
                </c:pt>
                <c:pt idx="37">
                  <c:v>Pakistán</c:v>
                </c:pt>
                <c:pt idx="38">
                  <c:v>Italia</c:v>
                </c:pt>
                <c:pt idx="39">
                  <c:v>Eslovenia</c:v>
                </c:pt>
                <c:pt idx="40">
                  <c:v>Dinamarca</c:v>
                </c:pt>
                <c:pt idx="41">
                  <c:v>Reino Unido</c:v>
                </c:pt>
                <c:pt idx="42">
                  <c:v>China</c:v>
                </c:pt>
                <c:pt idx="43">
                  <c:v>Países Bajos</c:v>
                </c:pt>
                <c:pt idx="44">
                  <c:v>Polonia</c:v>
                </c:pt>
                <c:pt idx="45">
                  <c:v>Vietnam</c:v>
                </c:pt>
              </c:strCache>
            </c:strRef>
          </c:cat>
          <c:val>
            <c:numRef>
              <c:f>Hoja1!$B$2:$B$47</c:f>
              <c:numCache>
                <c:formatCode>###0%</c:formatCode>
                <c:ptCount val="46"/>
                <c:pt idx="0">
                  <c:v>0.31826158287159662</c:v>
                </c:pt>
                <c:pt idx="1">
                  <c:v>0.53878314957329565</c:v>
                </c:pt>
                <c:pt idx="2">
                  <c:v>0.52556181573721916</c:v>
                </c:pt>
                <c:pt idx="3">
                  <c:v>0.51987391878810429</c:v>
                </c:pt>
                <c:pt idx="4">
                  <c:v>0.50956172419825718</c:v>
                </c:pt>
                <c:pt idx="5">
                  <c:v>0.49601593625497836</c:v>
                </c:pt>
                <c:pt idx="6">
                  <c:v>0.48891336723142642</c:v>
                </c:pt>
                <c:pt idx="7">
                  <c:v>0.48387149380135264</c:v>
                </c:pt>
                <c:pt idx="8">
                  <c:v>0.45816733067728899</c:v>
                </c:pt>
                <c:pt idx="9">
                  <c:v>0.45045602157983744</c:v>
                </c:pt>
                <c:pt idx="10">
                  <c:v>0.44127898158812834</c:v>
                </c:pt>
                <c:pt idx="11">
                  <c:v>0.42676148397832914</c:v>
                </c:pt>
                <c:pt idx="12">
                  <c:v>0.42615584246896049</c:v>
                </c:pt>
                <c:pt idx="13">
                  <c:v>0.42494714587737648</c:v>
                </c:pt>
                <c:pt idx="14">
                  <c:v>0.42243381865019786</c:v>
                </c:pt>
                <c:pt idx="15">
                  <c:v>0.39192841580194582</c:v>
                </c:pt>
                <c:pt idx="16">
                  <c:v>0.38421439610251951</c:v>
                </c:pt>
                <c:pt idx="17">
                  <c:v>0.36700000000000005</c:v>
                </c:pt>
                <c:pt idx="18">
                  <c:v>0.36429554870454273</c:v>
                </c:pt>
                <c:pt idx="19">
                  <c:v>0.35996528353079654</c:v>
                </c:pt>
                <c:pt idx="20">
                  <c:v>0.35147955265772413</c:v>
                </c:pt>
                <c:pt idx="21">
                  <c:v>0.34503895339674373</c:v>
                </c:pt>
                <c:pt idx="22">
                  <c:v>0.28535773710482049</c:v>
                </c:pt>
                <c:pt idx="23">
                  <c:v>0.28359258917235547</c:v>
                </c:pt>
                <c:pt idx="24">
                  <c:v>0.28130101447697342</c:v>
                </c:pt>
                <c:pt idx="25">
                  <c:v>0.28070329633131175</c:v>
                </c:pt>
                <c:pt idx="26">
                  <c:v>0.27800000000000002</c:v>
                </c:pt>
                <c:pt idx="27">
                  <c:v>0.26180185507179321</c:v>
                </c:pt>
                <c:pt idx="28">
                  <c:v>0.2524585949015225</c:v>
                </c:pt>
                <c:pt idx="29">
                  <c:v>0.25050916496944436</c:v>
                </c:pt>
                <c:pt idx="30">
                  <c:v>0.24362769412370269</c:v>
                </c:pt>
                <c:pt idx="31">
                  <c:v>0.24152290087091147</c:v>
                </c:pt>
                <c:pt idx="32">
                  <c:v>0.23391417524634306</c:v>
                </c:pt>
                <c:pt idx="33">
                  <c:v>0.23226646896636258</c:v>
                </c:pt>
                <c:pt idx="34">
                  <c:v>0.22989180814493074</c:v>
                </c:pt>
                <c:pt idx="35">
                  <c:v>0.22131891430812212</c:v>
                </c:pt>
                <c:pt idx="36">
                  <c:v>0.21419265905188389</c:v>
                </c:pt>
                <c:pt idx="37">
                  <c:v>0.20662749577346112</c:v>
                </c:pt>
                <c:pt idx="38">
                  <c:v>0.18809964523906111</c:v>
                </c:pt>
                <c:pt idx="39">
                  <c:v>0.18521533184503811</c:v>
                </c:pt>
                <c:pt idx="40">
                  <c:v>0.18011248535704016</c:v>
                </c:pt>
                <c:pt idx="41">
                  <c:v>0.15968399976543207</c:v>
                </c:pt>
                <c:pt idx="42">
                  <c:v>0.15</c:v>
                </c:pt>
                <c:pt idx="43">
                  <c:v>0.12656110655147812</c:v>
                </c:pt>
                <c:pt idx="44">
                  <c:v>0.10254710110534568</c:v>
                </c:pt>
                <c:pt idx="45">
                  <c:v>5.5724901503037397E-2</c:v>
                </c:pt>
              </c:numCache>
            </c:numRef>
          </c:val>
          <c:extLst>
            <c:ext xmlns:c16="http://schemas.microsoft.com/office/drawing/2014/chart" uri="{C3380CC4-5D6E-409C-BE32-E72D297353CC}">
              <c16:uniqueId val="{0000001A-F20C-40CF-8972-7DEB66A7D165}"/>
            </c:ext>
          </c:extLst>
        </c:ser>
        <c:dLbls>
          <c:dLblPos val="ctr"/>
          <c:showLegendKey val="0"/>
          <c:showVal val="1"/>
          <c:showCatName val="0"/>
          <c:showSerName val="0"/>
          <c:showPercent val="0"/>
          <c:showBubbleSize val="0"/>
        </c:dLbls>
        <c:gapWidth val="60"/>
        <c:overlap val="10"/>
        <c:axId val="1676282591"/>
        <c:axId val="1676285951"/>
      </c:barChart>
      <c:catAx>
        <c:axId val="167628259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crossAx val="1676285951"/>
        <c:crosses val="autoZero"/>
        <c:auto val="1"/>
        <c:lblAlgn val="ctr"/>
        <c:lblOffset val="100"/>
        <c:noMultiLvlLbl val="0"/>
      </c:catAx>
      <c:valAx>
        <c:axId val="1676285951"/>
        <c:scaling>
          <c:orientation val="minMax"/>
          <c:max val="1"/>
        </c:scaling>
        <c:delete val="1"/>
        <c:axPos val="l"/>
        <c:numFmt formatCode="###0%" sourceLinked="1"/>
        <c:majorTickMark val="out"/>
        <c:minorTickMark val="none"/>
        <c:tickLblPos val="nextTo"/>
        <c:crossAx val="1676282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latin typeface="Calibri" panose="020F0502020204030204" pitchFamily="34" charset="0"/>
          <a:cs typeface="Calibri" panose="020F0502020204030204" pitchFamily="34" charset="0"/>
        </a:defRPr>
      </a:pPr>
      <a:endParaRPr lang="es-A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dk2" tx2="lt2" accent1="accent1" accent2="accent2" accent3="accent3" accent4="accent4" accent5="accent5" accent6="accent6" hlink="hlink" folHlink="folHlink"/>
  <c:chart>
    <c:autoTitleDeleted val="1"/>
    <c:plotArea>
      <c:layout>
        <c:manualLayout>
          <c:layoutTarget val="inner"/>
          <c:xMode val="edge"/>
          <c:yMode val="edge"/>
          <c:x val="0.70275821720806142"/>
          <c:y val="0"/>
          <c:w val="0.47357712161999627"/>
          <c:h val="0.99998625187031842"/>
        </c:manualLayout>
      </c:layout>
      <c:barChart>
        <c:barDir val="bar"/>
        <c:grouping val="clustered"/>
        <c:varyColors val="1"/>
        <c:ser>
          <c:idx val="0"/>
          <c:order val="0"/>
          <c:tx>
            <c:strRef>
              <c:f>Sheet1!$B$1</c:f>
              <c:strCache>
                <c:ptCount val="1"/>
                <c:pt idx="0">
                  <c:v>GLOBAL</c:v>
                </c:pt>
              </c:strCache>
            </c:strRef>
          </c:tx>
          <c:spPr>
            <a:solidFill>
              <a:schemeClr val="accent2"/>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4F60-4AC6-B670-678DD76AC365}"/>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4F60-4AC6-B670-678DD76AC365}"/>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4F60-4AC6-B670-678DD76AC365}"/>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7-4F60-4AC6-B670-678DD76AC365}"/>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9-4F60-4AC6-B670-678DD76AC365}"/>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B-4F60-4AC6-B670-678DD76AC365}"/>
              </c:ext>
            </c:extLst>
          </c:dPt>
          <c:dPt>
            <c:idx val="6"/>
            <c:invertIfNegative val="0"/>
            <c:bubble3D val="0"/>
            <c:spPr>
              <a:solidFill>
                <a:schemeClr val="accent2"/>
              </a:solidFill>
              <a:ln>
                <a:noFill/>
              </a:ln>
              <a:effectLst/>
            </c:spPr>
            <c:extLst>
              <c:ext xmlns:c16="http://schemas.microsoft.com/office/drawing/2014/chart" uri="{C3380CC4-5D6E-409C-BE32-E72D297353CC}">
                <c16:uniqueId val="{0000000D-4F60-4AC6-B670-678DD76AC365}"/>
              </c:ext>
            </c:extLst>
          </c:dPt>
          <c:dPt>
            <c:idx val="7"/>
            <c:invertIfNegative val="0"/>
            <c:bubble3D val="0"/>
            <c:spPr>
              <a:solidFill>
                <a:schemeClr val="accent2"/>
              </a:solidFill>
              <a:ln>
                <a:noFill/>
              </a:ln>
              <a:effectLst/>
            </c:spPr>
            <c:extLst>
              <c:ext xmlns:c16="http://schemas.microsoft.com/office/drawing/2014/chart" uri="{C3380CC4-5D6E-409C-BE32-E72D297353CC}">
                <c16:uniqueId val="{0000000F-4F60-4AC6-B670-678DD76AC365}"/>
              </c:ext>
            </c:extLst>
          </c:dPt>
          <c:dPt>
            <c:idx val="8"/>
            <c:invertIfNegative val="0"/>
            <c:bubble3D val="0"/>
            <c:spPr>
              <a:solidFill>
                <a:schemeClr val="accent2"/>
              </a:solidFill>
              <a:ln>
                <a:noFill/>
              </a:ln>
              <a:effectLst/>
            </c:spPr>
            <c:extLst>
              <c:ext xmlns:c16="http://schemas.microsoft.com/office/drawing/2014/chart" uri="{C3380CC4-5D6E-409C-BE32-E72D297353CC}">
                <c16:uniqueId val="{00000011-4F60-4AC6-B670-678DD76AC365}"/>
              </c:ext>
            </c:extLst>
          </c:dPt>
          <c:dPt>
            <c:idx val="9"/>
            <c:invertIfNegative val="0"/>
            <c:bubble3D val="0"/>
            <c:spPr>
              <a:solidFill>
                <a:schemeClr val="accent2"/>
              </a:solidFill>
              <a:ln>
                <a:noFill/>
              </a:ln>
              <a:effectLst/>
            </c:spPr>
            <c:extLst>
              <c:ext xmlns:c16="http://schemas.microsoft.com/office/drawing/2014/chart" uri="{C3380CC4-5D6E-409C-BE32-E72D297353CC}">
                <c16:uniqueId val="{00000013-4F60-4AC6-B670-678DD76AC365}"/>
              </c:ext>
            </c:extLst>
          </c:dPt>
          <c:dPt>
            <c:idx val="10"/>
            <c:invertIfNegative val="0"/>
            <c:bubble3D val="0"/>
            <c:spPr>
              <a:solidFill>
                <a:schemeClr val="accent2"/>
              </a:solidFill>
              <a:ln>
                <a:noFill/>
              </a:ln>
              <a:effectLst/>
            </c:spPr>
            <c:extLst>
              <c:ext xmlns:c16="http://schemas.microsoft.com/office/drawing/2014/chart" uri="{C3380CC4-5D6E-409C-BE32-E72D297353CC}">
                <c16:uniqueId val="{00000015-4F60-4AC6-B670-678DD76AC365}"/>
              </c:ext>
            </c:extLst>
          </c:dPt>
          <c:dPt>
            <c:idx val="11"/>
            <c:invertIfNegative val="0"/>
            <c:bubble3D val="0"/>
            <c:spPr>
              <a:solidFill>
                <a:schemeClr val="accent2"/>
              </a:solidFill>
              <a:ln>
                <a:noFill/>
              </a:ln>
              <a:effectLst/>
            </c:spPr>
            <c:extLst>
              <c:ext xmlns:c16="http://schemas.microsoft.com/office/drawing/2014/chart" uri="{C3380CC4-5D6E-409C-BE32-E72D297353CC}">
                <c16:uniqueId val="{00000017-4F60-4AC6-B670-678DD76AC365}"/>
              </c:ext>
            </c:extLst>
          </c:dPt>
          <c:dPt>
            <c:idx val="12"/>
            <c:invertIfNegative val="0"/>
            <c:bubble3D val="0"/>
            <c:spPr>
              <a:solidFill>
                <a:schemeClr val="accent2"/>
              </a:solidFill>
              <a:ln>
                <a:noFill/>
              </a:ln>
              <a:effectLst/>
            </c:spPr>
            <c:extLst>
              <c:ext xmlns:c16="http://schemas.microsoft.com/office/drawing/2014/chart" uri="{C3380CC4-5D6E-409C-BE32-E72D297353CC}">
                <c16:uniqueId val="{00000019-4F60-4AC6-B670-678DD76AC365}"/>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Sheet1!$A$2:$A$14</c:f>
              <c:strCache>
                <c:ptCount val="13"/>
                <c:pt idx="0">
                  <c:v>No sabe / no responde</c:v>
                </c:pt>
                <c:pt idx="1">
                  <c:v>Otro</c:v>
                </c:pt>
                <c:pt idx="2">
                  <c:v>Scrolleo excesivo / demasiado tiempo en mi teléfono</c:v>
                </c:pt>
                <c:pt idx="3">
                  <c:v>Desastres ambientales</c:v>
                </c:pt>
                <c:pt idx="4">
                  <c:v>La política global / regional</c:v>
                </c:pt>
                <c:pt idx="5">
                  <c:v>Cambios en la vida (mudanza, cambio de trabajo)</c:v>
                </c:pt>
                <c:pt idx="6">
                  <c:v>Las guerras alrededor del mundo</c:v>
                </c:pt>
                <c:pt idx="7">
                  <c:v>Falta de trabajo / desempleo</c:v>
                </c:pt>
                <c:pt idx="8">
                  <c:v>La política en su país</c:v>
                </c:pt>
                <c:pt idx="9">
                  <c:v>Mi salud</c:v>
                </c:pt>
                <c:pt idx="10">
                  <c:v>Mi familia</c:v>
                </c:pt>
                <c:pt idx="11">
                  <c:v>Mi trabajo</c:v>
                </c:pt>
                <c:pt idx="12">
                  <c:v>Falta de dinero / deudas</c:v>
                </c:pt>
              </c:strCache>
            </c:strRef>
          </c:cat>
          <c:val>
            <c:numRef>
              <c:f>Sheet1!$B$2:$B$14</c:f>
              <c:numCache>
                <c:formatCode>###0%</c:formatCode>
                <c:ptCount val="13"/>
                <c:pt idx="0">
                  <c:v>8.4087125825041464E-2</c:v>
                </c:pt>
                <c:pt idx="1">
                  <c:v>4.0839473212052842E-2</c:v>
                </c:pt>
                <c:pt idx="2">
                  <c:v>9.0320261879934527E-2</c:v>
                </c:pt>
                <c:pt idx="3">
                  <c:v>9.4323785025955259E-2</c:v>
                </c:pt>
                <c:pt idx="4">
                  <c:v>0.11</c:v>
                </c:pt>
                <c:pt idx="5">
                  <c:v>0.1229844474739314</c:v>
                </c:pt>
                <c:pt idx="6">
                  <c:v>0.14234057586760346</c:v>
                </c:pt>
                <c:pt idx="7">
                  <c:v>0.14851533634595246</c:v>
                </c:pt>
                <c:pt idx="8">
                  <c:v>0.18</c:v>
                </c:pt>
                <c:pt idx="9">
                  <c:v>0.27916158124524726</c:v>
                </c:pt>
                <c:pt idx="10">
                  <c:v>0.28889849726741579</c:v>
                </c:pt>
                <c:pt idx="11">
                  <c:v>0.31641325415149374</c:v>
                </c:pt>
                <c:pt idx="12">
                  <c:v>0.31826158287159662</c:v>
                </c:pt>
              </c:numCache>
            </c:numRef>
          </c:val>
          <c:extLst>
            <c:ext xmlns:c16="http://schemas.microsoft.com/office/drawing/2014/chart" uri="{C3380CC4-5D6E-409C-BE32-E72D297353CC}">
              <c16:uniqueId val="{0000001A-4F60-4AC6-B670-678DD76AC365}"/>
            </c:ext>
          </c:extLst>
        </c:ser>
        <c:ser>
          <c:idx val="1"/>
          <c:order val="1"/>
          <c:tx>
            <c:strRef>
              <c:f>Sheet1!$C$1</c:f>
              <c:strCache>
                <c:ptCount val="1"/>
                <c:pt idx="0">
                  <c:v>ARGENTINA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Sheet1!$A$2:$A$14</c:f>
              <c:strCache>
                <c:ptCount val="13"/>
                <c:pt idx="0">
                  <c:v>No sabe / no responde</c:v>
                </c:pt>
                <c:pt idx="1">
                  <c:v>Otro</c:v>
                </c:pt>
                <c:pt idx="2">
                  <c:v>Scrolleo excesivo / demasiado tiempo en mi teléfono</c:v>
                </c:pt>
                <c:pt idx="3">
                  <c:v>Desastres ambientales</c:v>
                </c:pt>
                <c:pt idx="4">
                  <c:v>La política global / regional</c:v>
                </c:pt>
                <c:pt idx="5">
                  <c:v>Cambios en la vida (mudanza, cambio de trabajo)</c:v>
                </c:pt>
                <c:pt idx="6">
                  <c:v>Las guerras alrededor del mundo</c:v>
                </c:pt>
                <c:pt idx="7">
                  <c:v>Falta de trabajo / desempleo</c:v>
                </c:pt>
                <c:pt idx="8">
                  <c:v>La política en su país</c:v>
                </c:pt>
                <c:pt idx="9">
                  <c:v>Mi salud</c:v>
                </c:pt>
                <c:pt idx="10">
                  <c:v>Mi familia</c:v>
                </c:pt>
                <c:pt idx="11">
                  <c:v>Mi trabajo</c:v>
                </c:pt>
                <c:pt idx="12">
                  <c:v>Falta de dinero / deudas</c:v>
                </c:pt>
              </c:strCache>
            </c:strRef>
          </c:cat>
          <c:val>
            <c:numRef>
              <c:f>Sheet1!$C$2:$C$14</c:f>
              <c:numCache>
                <c:formatCode>###0%</c:formatCode>
                <c:ptCount val="13"/>
                <c:pt idx="0">
                  <c:v>5.7225180862328175E-2</c:v>
                </c:pt>
                <c:pt idx="1">
                  <c:v>3.0409844016702828E-2</c:v>
                </c:pt>
                <c:pt idx="2">
                  <c:v>7.1848150119140197E-2</c:v>
                </c:pt>
                <c:pt idx="3">
                  <c:v>6.1553393935513914E-2</c:v>
                </c:pt>
                <c:pt idx="4">
                  <c:v>7.0000000000000007E-2</c:v>
                </c:pt>
                <c:pt idx="5">
                  <c:v>9.824354040919149E-2</c:v>
                </c:pt>
                <c:pt idx="6">
                  <c:v>8.9779377987669468E-2</c:v>
                </c:pt>
                <c:pt idx="7">
                  <c:v>0.32431356719807719</c:v>
                </c:pt>
                <c:pt idx="8">
                  <c:v>0.18</c:v>
                </c:pt>
                <c:pt idx="9">
                  <c:v>0.20475766235582363</c:v>
                </c:pt>
                <c:pt idx="10">
                  <c:v>0.25665769172287939</c:v>
                </c:pt>
                <c:pt idx="11">
                  <c:v>0.27757545097874053</c:v>
                </c:pt>
                <c:pt idx="12">
                  <c:v>0.53878314957329565</c:v>
                </c:pt>
              </c:numCache>
            </c:numRef>
          </c:val>
          <c:extLst>
            <c:ext xmlns:c16="http://schemas.microsoft.com/office/drawing/2014/chart" uri="{C3380CC4-5D6E-409C-BE32-E72D297353CC}">
              <c16:uniqueId val="{0000001B-4F60-4AC6-B670-678DD76AC365}"/>
            </c:ext>
          </c:extLst>
        </c:ser>
        <c:dLbls>
          <c:showLegendKey val="0"/>
          <c:showVal val="0"/>
          <c:showCatName val="0"/>
          <c:showSerName val="0"/>
          <c:showPercent val="0"/>
          <c:showBubbleSize val="0"/>
        </c:dLbls>
        <c:gapWidth val="60"/>
        <c:axId val="130034176"/>
        <c:axId val="88750272"/>
      </c:barChart>
      <c:catAx>
        <c:axId val="130034176"/>
        <c:scaling>
          <c:orientation val="minMax"/>
        </c:scaling>
        <c:delete val="0"/>
        <c:axPos val="l"/>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crossAx val="88750272"/>
        <c:crosses val="autoZero"/>
        <c:auto val="1"/>
        <c:lblAlgn val="ctr"/>
        <c:lblOffset val="100"/>
        <c:noMultiLvlLbl val="0"/>
      </c:catAx>
      <c:valAx>
        <c:axId val="88750272"/>
        <c:scaling>
          <c:orientation val="minMax"/>
          <c:max val="1"/>
        </c:scaling>
        <c:delete val="1"/>
        <c:axPos val="b"/>
        <c:numFmt formatCode="###0%" sourceLinked="1"/>
        <c:majorTickMark val="out"/>
        <c:minorTickMark val="none"/>
        <c:tickLblPos val="nextTo"/>
        <c:crossAx val="130034176"/>
        <c:crosses val="autoZero"/>
        <c:crossBetween val="between"/>
        <c:majorUnit val="0.1"/>
        <c:minorUnit val="1.0000000000000002E-2"/>
      </c:valAx>
      <c:spPr>
        <a:solidFill>
          <a:schemeClr val="bg1"/>
        </a:solidFill>
        <a:ln>
          <a:noFill/>
        </a:ln>
        <a:effectLst/>
      </c:spPr>
    </c:plotArea>
    <c:legend>
      <c:legendPos val="r"/>
      <c:layout>
        <c:manualLayout>
          <c:xMode val="edge"/>
          <c:yMode val="edge"/>
          <c:x val="0.83463272570380753"/>
          <c:y val="0.41128260753120144"/>
          <c:w val="0.13289644730481748"/>
          <c:h val="0.123013016230114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Calibri" panose="020F0502020204030204" pitchFamily="34" charset="0"/>
              <a:ea typeface="+mn-ea"/>
              <a:cs typeface="Calibri" panose="020F0502020204030204" pitchFamily="34" charset="0"/>
            </a:defRPr>
          </a:pPr>
          <a:endParaRPr lang="es-AR"/>
        </a:p>
      </c:txPr>
    </c:legend>
    <c:plotVisOnly val="1"/>
    <c:dispBlanksAs val="gap"/>
    <c:showDLblsOverMax val="0"/>
  </c:chart>
  <c:spPr>
    <a:solidFill>
      <a:schemeClr val="bg1"/>
    </a:solidFill>
    <a:ln w="9525" cap="flat" cmpd="sng" algn="ctr">
      <a:noFill/>
      <a:prstDash val="solid"/>
      <a:round/>
    </a:ln>
    <a:effectLst/>
  </c:spPr>
  <c:txPr>
    <a:bodyPr/>
    <a:lstStyle/>
    <a:p>
      <a:pPr>
        <a:defRPr sz="1400">
          <a:solidFill>
            <a:schemeClr val="tx1"/>
          </a:solidFill>
          <a:latin typeface="Calibri" panose="020F0502020204030204" pitchFamily="34" charset="0"/>
          <a:cs typeface="Calibri" panose="020F0502020204030204" pitchFamily="34" charset="0"/>
        </a:defRPr>
      </a:pPr>
      <a:endParaRPr lang="es-A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VOICES">
    <a:dk1>
      <a:srgbClr val="000000"/>
    </a:dk1>
    <a:lt1>
      <a:srgbClr val="FFFFFF"/>
    </a:lt1>
    <a:dk2>
      <a:srgbClr val="FFF334"/>
    </a:dk2>
    <a:lt2>
      <a:srgbClr val="F7941E"/>
    </a:lt2>
    <a:accent1>
      <a:srgbClr val="EF4130"/>
    </a:accent1>
    <a:accent2>
      <a:srgbClr val="33A3DC"/>
    </a:accent2>
    <a:accent3>
      <a:srgbClr val="D7DF23"/>
    </a:accent3>
    <a:accent4>
      <a:srgbClr val="E0861A"/>
    </a:accent4>
    <a:accent5>
      <a:srgbClr val="D71920"/>
    </a:accent5>
    <a:accent6>
      <a:srgbClr val="312A4B"/>
    </a:accent6>
    <a:hlink>
      <a:srgbClr val="1B1130"/>
    </a:hlink>
    <a:folHlink>
      <a:srgbClr val="800080"/>
    </a:folHlink>
  </a:clrScheme>
  <a:fontScheme name="Office">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VOICES">
    <a:dk1>
      <a:srgbClr val="000000"/>
    </a:dk1>
    <a:lt1>
      <a:srgbClr val="FFFFFF"/>
    </a:lt1>
    <a:dk2>
      <a:srgbClr val="FFF334"/>
    </a:dk2>
    <a:lt2>
      <a:srgbClr val="F7941E"/>
    </a:lt2>
    <a:accent1>
      <a:srgbClr val="EF4130"/>
    </a:accent1>
    <a:accent2>
      <a:srgbClr val="33A3DC"/>
    </a:accent2>
    <a:accent3>
      <a:srgbClr val="D7DF23"/>
    </a:accent3>
    <a:accent4>
      <a:srgbClr val="E0861A"/>
    </a:accent4>
    <a:accent5>
      <a:srgbClr val="D71920"/>
    </a:accent5>
    <a:accent6>
      <a:srgbClr val="312A4B"/>
    </a:accent6>
    <a:hlink>
      <a:srgbClr val="1B1130"/>
    </a:hlink>
    <a:folHlink>
      <a:srgbClr val="800080"/>
    </a:folHlink>
  </a:clrScheme>
  <a:fontScheme name="Office">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oiOZZ2McOWv8dl4dmXblhOUOUw==">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</go:docsCustomData>
</go:gDocsCustomXmlDataStorage>
</file>

<file path=customXml/itemProps1.xml><?xml version="1.0" encoding="utf-8"?>
<ds:datastoreItem xmlns:ds="http://schemas.openxmlformats.org/officeDocument/2006/customXml" ds:itemID="{B5721955-2611-4132-B75F-BAF1161AEFC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7</Pages>
  <Words>2105</Words>
  <Characters>11582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Constanza Cilley</dc:creator>
  <cp:lastModifiedBy>Juana Haines</cp:lastModifiedBy>
  <cp:revision>2</cp:revision>
  <cp:lastPrinted>2026-10-02T18:14:00Z</cp:lastPrinted>
  <dcterms:created xsi:type="dcterms:W3CDTF">2026-10-06T13:57:00Z</dcterms:created>
  <dcterms:modified xsi:type="dcterms:W3CDTF">2026-10-06T13:57:00Z</dcterms:modified>
</cp:coreProperties>
</file>